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47ED" w:rsidRDefault="009547ED" w:rsidP="0059034D">
      <w:pPr>
        <w:jc w:val="right"/>
      </w:pPr>
      <w:bookmarkStart w:id="0" w:name="_GoBack"/>
      <w:bookmarkEnd w:id="0"/>
      <w:r>
        <w:t>Santiago, 10 de septiembre de 2020.</w:t>
      </w:r>
    </w:p>
    <w:p w:rsidR="009547ED" w:rsidRDefault="009547ED" w:rsidP="009547ED"/>
    <w:p w:rsidR="009547ED" w:rsidRDefault="009547ED" w:rsidP="009547ED">
      <w:r>
        <w:t>Señor</w:t>
      </w:r>
    </w:p>
    <w:p w:rsidR="009547ED" w:rsidRDefault="009547ED" w:rsidP="009547ED">
      <w:r>
        <w:t>Jorge Bermúdez Soto</w:t>
      </w:r>
    </w:p>
    <w:p w:rsidR="009547ED" w:rsidRDefault="009547ED" w:rsidP="009547ED">
      <w:r>
        <w:t>Contralor General de la República</w:t>
      </w:r>
    </w:p>
    <w:p w:rsidR="009547ED" w:rsidRDefault="009547ED" w:rsidP="009547ED">
      <w:r>
        <w:t>Presente</w:t>
      </w:r>
    </w:p>
    <w:p w:rsidR="009547ED" w:rsidRDefault="009547ED" w:rsidP="009547ED"/>
    <w:p w:rsidR="0059034D" w:rsidRDefault="0059034D" w:rsidP="009547ED"/>
    <w:p w:rsidR="009547ED" w:rsidRPr="009547ED" w:rsidRDefault="009547ED" w:rsidP="009547ED">
      <w:pPr>
        <w:rPr>
          <w:b/>
        </w:rPr>
      </w:pPr>
      <w:r w:rsidRPr="009547ED">
        <w:rPr>
          <w:b/>
        </w:rPr>
        <w:t>Materia: Denuncia irregularidades en Permiso de Edificación N° 35, de 2019, otorgado por la DOM de Providencia.</w:t>
      </w:r>
    </w:p>
    <w:p w:rsidR="009547ED" w:rsidRDefault="009547ED" w:rsidP="009547ED"/>
    <w:p w:rsidR="009547ED" w:rsidRDefault="009547ED" w:rsidP="009547ED">
      <w:r w:rsidRPr="009547ED">
        <w:rPr>
          <w:b/>
        </w:rPr>
        <w:t>Patricio Herman Pacheco</w:t>
      </w:r>
      <w:r>
        <w:t>, Presidente de “Fundación Defendamos La Ciudad”, ambos domiciliados para estos efectos en Calle Luz N°2889, Depto. N° 34, de la comuna de Las Condes, Cel. N° 99 258 5459, patricioherman@hotmail.com, respetuosamente al señor Contralor General de la República decimos:</w:t>
      </w:r>
    </w:p>
    <w:p w:rsidR="009547ED" w:rsidRDefault="009547ED" w:rsidP="009547ED"/>
    <w:p w:rsidR="009547ED" w:rsidRDefault="009547ED" w:rsidP="009547ED">
      <w:r>
        <w:t>Que venimos en denunciar irregularidades en el Permiso de Edificación (PE) N° 35, de 2019, otorgado por la DOM de Providencia en favor la</w:t>
      </w:r>
      <w:r w:rsidR="00F3717F">
        <w:t xml:space="preserve"> empresa</w:t>
      </w:r>
      <w:r>
        <w:t xml:space="preserve"> Inmobiliaria Mirador del Cerro </w:t>
      </w:r>
      <w:proofErr w:type="spellStart"/>
      <w:r>
        <w:t>SpA</w:t>
      </w:r>
      <w:proofErr w:type="spellEnd"/>
      <w:r>
        <w:t xml:space="preserve">, para construir dos torres de 295 viviendas de 32 pisos cada una, en el mismo predio de 21.216,95 m2, rol del SII Nº 7070-48, donde se emplaza una edificación existente denominada Hotel Sheraton, informada favorablemente por el Revisor Independiente señor Mauricio Fuentes </w:t>
      </w:r>
      <w:proofErr w:type="spellStart"/>
      <w:r>
        <w:t>Penrroz</w:t>
      </w:r>
      <w:proofErr w:type="spellEnd"/>
      <w:r>
        <w:t>, con número de Registro 71-13.</w:t>
      </w:r>
    </w:p>
    <w:p w:rsidR="009547ED" w:rsidRDefault="009547ED" w:rsidP="009547ED"/>
    <w:p w:rsidR="009547ED" w:rsidRDefault="009547ED" w:rsidP="009547ED">
      <w:r>
        <w:t>El problema de fondo</w:t>
      </w:r>
      <w:r w:rsidR="00F3717F">
        <w:t xml:space="preserve"> del que adolece el PE Nº 35/19</w:t>
      </w:r>
      <w:r>
        <w:t xml:space="preserve"> es el hecho que se lo presenta y aprueba como una “obra nueva”, y no como una </w:t>
      </w:r>
      <w:r w:rsidR="00F3717F">
        <w:t>“</w:t>
      </w:r>
      <w:r>
        <w:t>ampliación</w:t>
      </w:r>
      <w:r w:rsidR="00F3717F">
        <w:t>”</w:t>
      </w:r>
      <w:r>
        <w:t>, tal como consta en la parte superior de la resolución de permiso.</w:t>
      </w:r>
    </w:p>
    <w:p w:rsidR="009547ED" w:rsidRDefault="009547ED" w:rsidP="009547ED"/>
    <w:p w:rsidR="009547ED" w:rsidRDefault="009547ED" w:rsidP="009547ED">
      <w:r>
        <w:t>Según el artículo 1.1.2 de la OGUC, se define “obra nueva” y “ampliación”, de la siguiente manera:</w:t>
      </w:r>
    </w:p>
    <w:p w:rsidR="009547ED" w:rsidRDefault="009547ED" w:rsidP="009547ED"/>
    <w:p w:rsidR="009547ED" w:rsidRDefault="009547ED" w:rsidP="009547ED">
      <w:pPr>
        <w:pStyle w:val="Prrafodelista"/>
        <w:numPr>
          <w:ilvl w:val="0"/>
          <w:numId w:val="1"/>
        </w:numPr>
      </w:pPr>
      <w:r>
        <w:t>“Obra nueva”: la que se construye sin utilizar partes o elementos de alguna construcción preexistente en el predio.</w:t>
      </w:r>
    </w:p>
    <w:p w:rsidR="009547ED" w:rsidRDefault="009547ED" w:rsidP="009547ED">
      <w:pPr>
        <w:pStyle w:val="Prrafodelista"/>
        <w:numPr>
          <w:ilvl w:val="0"/>
          <w:numId w:val="1"/>
        </w:numPr>
      </w:pPr>
      <w:r>
        <w:t xml:space="preserve">“Ampliación”: aumentos de superficie edificada que se </w:t>
      </w:r>
      <w:r w:rsidRPr="009547ED">
        <w:rPr>
          <w:b/>
        </w:rPr>
        <w:t>construyen con posterioridad a la recepción definitiva de las obras</w:t>
      </w:r>
      <w:r>
        <w:t>.</w:t>
      </w:r>
    </w:p>
    <w:p w:rsidR="009547ED" w:rsidRDefault="009547ED" w:rsidP="009547ED"/>
    <w:p w:rsidR="009547ED" w:rsidRDefault="009547ED" w:rsidP="009547ED">
      <w:r>
        <w:lastRenderedPageBreak/>
        <w:t xml:space="preserve">Como se apreciará, claramente la construcción que fue sometida a la consideración de la DOM de Providencia </w:t>
      </w:r>
      <w:r>
        <w:rPr>
          <w:b/>
        </w:rPr>
        <w:t>es una ampliación</w:t>
      </w:r>
      <w:r w:rsidRPr="009547ED">
        <w:rPr>
          <w:b/>
        </w:rPr>
        <w:t xml:space="preserve"> y no una obra nueva</w:t>
      </w:r>
      <w:r>
        <w:t>, puesto que implica aumentos de la superficie edificada posteriores a una recepción definitiva de obras, que en su momento aprobaron la construcción del hotel Sheraton en el predio rol</w:t>
      </w:r>
      <w:r w:rsidR="00F3717F">
        <w:t xml:space="preserve"> SII</w:t>
      </w:r>
      <w:r>
        <w:t xml:space="preserve"> Nº 7070-48.</w:t>
      </w:r>
    </w:p>
    <w:p w:rsidR="009547ED" w:rsidRDefault="009547ED" w:rsidP="009547ED"/>
    <w:p w:rsidR="009547ED" w:rsidRDefault="009547ED" w:rsidP="009547ED">
      <w:r>
        <w:t xml:space="preserve">En efecto, primero se aprobó el PE Nº 583 de fecha 14 de diciembre de 1966, con una superficie de 19.664, 75 m2, que luego fue modificado por los PE Nº 716 de 1971 y PE Nº 89-A, de 1989, que fueron </w:t>
      </w:r>
      <w:proofErr w:type="spellStart"/>
      <w:r>
        <w:t>recepcionadas</w:t>
      </w:r>
      <w:proofErr w:type="spellEnd"/>
      <w:r>
        <w:t>.</w:t>
      </w:r>
    </w:p>
    <w:p w:rsidR="009547ED" w:rsidRDefault="009547ED" w:rsidP="009547ED"/>
    <w:p w:rsidR="009547ED" w:rsidRDefault="009547ED" w:rsidP="009547ED">
      <w:r>
        <w:t>Luego se volvió a ampliar las edificaciones con el PE Nº 10 de fecha 20 de febrero de 1995, que autorizó otros 35.120,5 m2, los que también obtuvieron la recepción definitiva de las obras, consistente en una torre de 22 pisos, 4 subterráneos destinados a 317 estacionamientos y un piso zócalo para servicios complementarios del hotel. En la torre se consultan 150 nuevas habitaciones del piso 2 al 21 y una suite Presidencial en el piso 22.</w:t>
      </w:r>
    </w:p>
    <w:p w:rsidR="009547ED" w:rsidRDefault="009547ED" w:rsidP="009547ED"/>
    <w:p w:rsidR="009547ED" w:rsidRDefault="009547ED" w:rsidP="009547ED">
      <w:r>
        <w:t xml:space="preserve">Y finalmente, se aprueba el nuevo PE Nº 35 de 2019, el cual contempla una demolición de 198 m2 de lo existente, y aprueba la construcción de otros 54.837,61 m2, para totalizar 90.739 m2 y un total de 752 estacionamientos predio en el rol </w:t>
      </w:r>
      <w:r w:rsidR="00F3717F">
        <w:t xml:space="preserve">SII </w:t>
      </w:r>
      <w:r>
        <w:t>Nº 7070-48.</w:t>
      </w:r>
    </w:p>
    <w:p w:rsidR="009547ED" w:rsidRDefault="009547ED" w:rsidP="009547ED"/>
    <w:p w:rsidR="009547ED" w:rsidRDefault="009547ED" w:rsidP="009547ED">
      <w:r>
        <w:t>De ahí que, en ningún caso se trata de una “obra nueva”, toda vez que había construcción existente en el predio, como lo es el hotel Sheraton, y lo aprobado por el PE Nº 35 importa aumentos de superficie</w:t>
      </w:r>
      <w:r w:rsidR="00F3717F">
        <w:t xml:space="preserve"> edificada</w:t>
      </w:r>
      <w:r>
        <w:t xml:space="preserve"> posteriores a la recepción de las obras iniciales.</w:t>
      </w:r>
    </w:p>
    <w:p w:rsidR="009547ED" w:rsidRDefault="009547ED" w:rsidP="009547ED"/>
    <w:p w:rsidR="009547ED" w:rsidRDefault="009547ED" w:rsidP="009547ED">
      <w:r>
        <w:t>Pero esta contravención no es un simple error, sino que claramente tiene el propósito de subestimar los impactos viales y ambientales que implican el proyecto en su conjunto.</w:t>
      </w:r>
    </w:p>
    <w:p w:rsidR="009547ED" w:rsidRDefault="009547ED" w:rsidP="009547ED"/>
    <w:p w:rsidR="009547ED" w:rsidRDefault="009547ED" w:rsidP="009547ED">
      <w:r>
        <w:t>Particularmente grave es su efecto sobre el medio ambiente, pues al presentarlo como obra nueva, y no como una ampliación, como debió haberse hecho, habría quedado de manifiesto que no se exime de la evaluación ambiental que le corresponde hacer, conforme a la</w:t>
      </w:r>
      <w:r w:rsidR="00EF426C">
        <w:t xml:space="preserve"> ley Nº 19.300 y su reglamento.</w:t>
      </w:r>
    </w:p>
    <w:p w:rsidR="00EF426C" w:rsidRDefault="00EF426C" w:rsidP="009547ED"/>
    <w:p w:rsidR="00EF426C" w:rsidRDefault="009547ED" w:rsidP="00EF426C">
      <w:r>
        <w:t xml:space="preserve">Al contemplar el proyecto solo 295 viviendas se omitieron los metros cuadrados de las habitaciones de los hoteles, ambas de carácter residencial conforme al artículo 2.1.25 OGUC, con lo cual el titular del proyecto sostiene que no califica para someterlo al SEIA, en circunstancias que, cuando se trata de una ampliación, en donde la parte existente nunca fue </w:t>
      </w:r>
      <w:r>
        <w:lastRenderedPageBreak/>
        <w:t>evaluada, debe analizarse ahora el efecto conjunto, cuya superficie total construida prácticamente se duplica.</w:t>
      </w:r>
      <w:r w:rsidR="00EF426C">
        <w:t xml:space="preserve"> Se trataría en definitiva de un fraccionamiento del proyecto ejecutado en el predio rol SII Nº 7070-48 para eludir al SEIA, situación prohibida por el artículo 11 bis de esa ley.</w:t>
      </w:r>
    </w:p>
    <w:p w:rsidR="009547ED" w:rsidRDefault="009547ED" w:rsidP="009547ED"/>
    <w:p w:rsidR="009547ED" w:rsidRDefault="009547ED" w:rsidP="009547ED">
      <w:r>
        <w:t>Por su parte, debemos tener en cuenta que el EISTU asociado al PE Nº 35/2019, aprobado por el Oficio Nº 4015 del 16/04/19, sólo considera el impacto por 402 estacionamientos, no obstante, éstos se vienen a sumar a los 350 estacionamientos existentes del hotel, tal como se reconoce en el Punto II letra d) del señalado oficio:</w:t>
      </w:r>
    </w:p>
    <w:p w:rsidR="009547ED" w:rsidRDefault="009547ED" w:rsidP="009547ED"/>
    <w:p w:rsidR="009547ED" w:rsidRDefault="009547ED" w:rsidP="00F3717F">
      <w:pPr>
        <w:ind w:left="708"/>
      </w:pPr>
      <w:r>
        <w:t>“Demanda Proyectada: el estudio considera los siguientes flujos vehiculares en los accesos y salidas del proyecto (</w:t>
      </w:r>
      <w:r w:rsidRPr="00F3717F">
        <w:rPr>
          <w:b/>
        </w:rPr>
        <w:t>considerando los nuevos flujos, no los existentes</w:t>
      </w:r>
      <w:r>
        <w:t>)”.</w:t>
      </w:r>
    </w:p>
    <w:p w:rsidR="009547ED" w:rsidRDefault="009547ED" w:rsidP="009547ED"/>
    <w:p w:rsidR="009547ED" w:rsidRDefault="009547ED" w:rsidP="009547ED">
      <w:r>
        <w:t>Cabe hacer presente que los impactos de los 350 estacionamientos existentes del hotel Sheraton nunca han sido evaluados, y menos aún mitigados sus efectos sobre la vialidad urbana, lo que ahora se agrava sustancialmente al agregar otros 402 estacionamientos, que vienen a sumar 752 estacionamientos, que, por su alto impacto, requerirían una metodología mucho más exigente, conforme a la Resolución Exenta N° 2.379, de 2003, del Ministerio de Vivienda y Urbanismo.</w:t>
      </w:r>
    </w:p>
    <w:p w:rsidR="009547ED" w:rsidRDefault="009547ED" w:rsidP="009547ED"/>
    <w:p w:rsidR="009547ED" w:rsidRDefault="009547ED" w:rsidP="009547ED">
      <w:r>
        <w:t>Adicionalmente, también llama la atención lo referido al coeficiente de ocupación de</w:t>
      </w:r>
      <w:r w:rsidR="00F3717F">
        <w:t>l</w:t>
      </w:r>
      <w:r>
        <w:t xml:space="preserve"> suelo, que para la zona EAL/</w:t>
      </w:r>
      <w:proofErr w:type="spellStart"/>
      <w:r>
        <w:t>pa</w:t>
      </w:r>
      <w:proofErr w:type="spellEnd"/>
      <w:r>
        <w:t xml:space="preserve"> </w:t>
      </w:r>
      <w:r w:rsidR="00F3717F">
        <w:t xml:space="preserve">del Plan Regulador Comunal </w:t>
      </w:r>
      <w:r>
        <w:t>que afecta al predio donde se autorizan las construcciones, es de solo 0,2, lo que permite un máximo de 4.243,39 m2 en primer piso, sumando tanto lo existente como la ampliación aprobada en 2019.</w:t>
      </w:r>
    </w:p>
    <w:p w:rsidR="009547ED" w:rsidRDefault="009547ED" w:rsidP="009547ED"/>
    <w:p w:rsidR="009547ED" w:rsidRDefault="009547ED" w:rsidP="009547ED">
      <w:r>
        <w:t xml:space="preserve">Sin embargo, </w:t>
      </w:r>
      <w:r w:rsidRPr="009547ED">
        <w:rPr>
          <w:b/>
        </w:rPr>
        <w:t xml:space="preserve">sólo con lo probado en el </w:t>
      </w:r>
      <w:r w:rsidR="00F3717F">
        <w:rPr>
          <w:b/>
        </w:rPr>
        <w:t>PE Nº 10, de 1995, en el primer</w:t>
      </w:r>
      <w:r w:rsidRPr="009547ED">
        <w:rPr>
          <w:b/>
        </w:rPr>
        <w:t xml:space="preserve"> piso se tienen 3.993,31 m2 que representan una ocupación de</w:t>
      </w:r>
      <w:r w:rsidR="00F3717F">
        <w:rPr>
          <w:b/>
        </w:rPr>
        <w:t>l</w:t>
      </w:r>
      <w:r w:rsidRPr="009547ED">
        <w:rPr>
          <w:b/>
        </w:rPr>
        <w:t xml:space="preserve"> suelo de 0,19</w:t>
      </w:r>
      <w:r>
        <w:t xml:space="preserve">, lo que viene a sumarse a lo aprobado inicialmente en el PE Nº 583 de 1966 y sus modificaciones, </w:t>
      </w:r>
      <w:r w:rsidRPr="009547ED">
        <w:rPr>
          <w:b/>
        </w:rPr>
        <w:t xml:space="preserve">llegándose a un coeficiente de ocupación </w:t>
      </w:r>
      <w:r>
        <w:rPr>
          <w:b/>
        </w:rPr>
        <w:t>del suelo</w:t>
      </w:r>
      <w:r w:rsidRPr="009547ED">
        <w:rPr>
          <w:b/>
        </w:rPr>
        <w:t xml:space="preserve"> de 0,3</w:t>
      </w:r>
      <w:r>
        <w:t xml:space="preserve"> según deja constancia la propia resolución de permiso PE Nº 35 de 2019.</w:t>
      </w:r>
    </w:p>
    <w:p w:rsidR="009547ED" w:rsidRDefault="009547ED" w:rsidP="009547ED"/>
    <w:p w:rsidR="009547ED" w:rsidRDefault="009547ED" w:rsidP="009547ED">
      <w:r>
        <w:t xml:space="preserve">Si a lo anterior se suman las nuevas construcciones que se amplían con el PE Nº 35 de 2019, el coeficiente de ocupación del suelo se sobrepasa aún más con respecto al límite de 0,2 definido en el </w:t>
      </w:r>
      <w:r w:rsidR="00F3717F">
        <w:t>Plan R</w:t>
      </w:r>
      <w:r>
        <w:t xml:space="preserve">egulador </w:t>
      </w:r>
      <w:r w:rsidR="00F3717F">
        <w:t>C</w:t>
      </w:r>
      <w:r>
        <w:t>omunal de Providencia.</w:t>
      </w:r>
    </w:p>
    <w:p w:rsidR="009547ED" w:rsidRDefault="009547ED" w:rsidP="009547ED"/>
    <w:p w:rsidR="009547ED" w:rsidRDefault="009547ED" w:rsidP="009547ED">
      <w:r>
        <w:lastRenderedPageBreak/>
        <w:t>Otra irregularidad se advierte en relación al coeficiente de constructibilidad.</w:t>
      </w:r>
    </w:p>
    <w:p w:rsidR="009547ED" w:rsidRDefault="009547ED" w:rsidP="009547ED"/>
    <w:p w:rsidR="009547ED" w:rsidRDefault="009547ED" w:rsidP="009547ED">
      <w:r>
        <w:t>Según la resolución del PE Nº 35 de 2019, en su sección 7.3, denominado “Normas urbanísticas aplicadas”, al proyecto le estaría permitido según la zona EA/</w:t>
      </w:r>
      <w:proofErr w:type="spellStart"/>
      <w:r>
        <w:t>pa</w:t>
      </w:r>
      <w:proofErr w:type="spellEnd"/>
      <w:r>
        <w:t xml:space="preserve"> un coeficiente de constructibilidad de 2,9, a lo cual habría que sumar un incremento del 30% por concepto del artículo 3.1.03 del PRC de Providencia, lo que admitiría un coeficiente total de 3,77.</w:t>
      </w:r>
    </w:p>
    <w:p w:rsidR="009547ED" w:rsidRDefault="009547ED" w:rsidP="009547ED"/>
    <w:p w:rsidR="009547ED" w:rsidRDefault="009547ED" w:rsidP="009547ED">
      <w:r>
        <w:t>Pues bien, el artículo 3.1.03 del PRC de Providencia no contempla beneficio alguno que implique un incremento del 30% del coeficiente de constructibilidad, sino que, regula la extensión de zonas, en los siguientes términos:</w:t>
      </w:r>
    </w:p>
    <w:p w:rsidR="009547ED" w:rsidRDefault="009547ED" w:rsidP="009547ED"/>
    <w:p w:rsidR="009547ED" w:rsidRPr="009547ED" w:rsidRDefault="009547ED" w:rsidP="009547ED">
      <w:pPr>
        <w:rPr>
          <w:i/>
        </w:rPr>
      </w:pPr>
      <w:r w:rsidRPr="009547ED">
        <w:rPr>
          <w:i/>
        </w:rPr>
        <w:t>“ART. 3.1.03. Extensión de las Zonas.</w:t>
      </w:r>
    </w:p>
    <w:p w:rsidR="009547ED" w:rsidRPr="009547ED" w:rsidRDefault="009547ED" w:rsidP="009547ED">
      <w:pPr>
        <w:rPr>
          <w:i/>
        </w:rPr>
      </w:pPr>
      <w:r w:rsidRPr="009547ED">
        <w:rPr>
          <w:i/>
        </w:rPr>
        <w:t>Las ZE y las ZU incluyen todos los predios comprendidos dentro del área graficada en los planos con la trama correspondiente, y aquellas Zonas que se grafican enfrentando vías, se extenderán hasta el deslinde del fondo de los primeros predios que enfrenta esa vía, hasta una profundidad máxima de 50 metros o hasta la mitad de la distancia entre la vía que genera la norma y la vía posterior que delimita la respectiva manzana, primando la medida más restrictiva. Ello también se aplicará al predio resultante de una fusión de dichos predios</w:t>
      </w:r>
    </w:p>
    <w:p w:rsidR="009547ED" w:rsidRPr="009547ED" w:rsidRDefault="009547ED" w:rsidP="009547ED">
      <w:pPr>
        <w:rPr>
          <w:i/>
        </w:rPr>
      </w:pPr>
      <w:r w:rsidRPr="009547ED">
        <w:rPr>
          <w:i/>
        </w:rPr>
        <w:t xml:space="preserve">A los predios o a la fusión de predios que queden afectos a dos o más zonas se les deberá aplicar las normas de edificación y uso del suelo, de acuerdo a lo señalado en el Art. 2.1.21. </w:t>
      </w:r>
      <w:r w:rsidR="0059034D">
        <w:rPr>
          <w:i/>
        </w:rPr>
        <w:t>de la OGUC, y demás pertinentes</w:t>
      </w:r>
      <w:r w:rsidRPr="009547ED">
        <w:rPr>
          <w:i/>
        </w:rPr>
        <w:t>”</w:t>
      </w:r>
      <w:r w:rsidR="0059034D">
        <w:rPr>
          <w:i/>
        </w:rPr>
        <w:t>.</w:t>
      </w:r>
    </w:p>
    <w:p w:rsidR="009547ED" w:rsidRDefault="009547ED" w:rsidP="009547ED"/>
    <w:p w:rsidR="009547ED" w:rsidRDefault="009547ED" w:rsidP="009547ED">
      <w:r>
        <w:t>También es relevante destacar que, según la propia resolución de permiso en comento, el proyecto no se acoge a los beneficios de fusión de terrenos, ni de Conjunto Armónico, ni otro que implique un incremento del coeficiente de constructibilidad.</w:t>
      </w:r>
    </w:p>
    <w:p w:rsidR="009547ED" w:rsidRDefault="009547ED" w:rsidP="009547ED"/>
    <w:p w:rsidR="009547ED" w:rsidRDefault="009547ED" w:rsidP="009547ED">
      <w:r>
        <w:t>Por lo tanto, cabe preguntarse: ¿cuál será el objeto de abultar artificiosamente el coeficiente de constructibilidad? ¿Se estará preparando el camino para que, en una futura modificación de proyecto, se utilice dicho incremento?</w:t>
      </w:r>
    </w:p>
    <w:p w:rsidR="009547ED" w:rsidRDefault="009547ED" w:rsidP="009547ED"/>
    <w:p w:rsidR="009547ED" w:rsidRDefault="009547ED" w:rsidP="009547ED">
      <w:r>
        <w:t>En todo caso, no es sano para la institucionalidad de los permisos de edificación, que, a través de las resoluciones de los DOM, se altere ilegal y arbitrariamente las normas urbanísticas que ha fijado el Plan Regulador Comunal.</w:t>
      </w:r>
    </w:p>
    <w:p w:rsidR="009547ED" w:rsidRDefault="009547ED" w:rsidP="009547ED"/>
    <w:p w:rsidR="009547ED" w:rsidRDefault="009547ED" w:rsidP="009547ED">
      <w:r>
        <w:lastRenderedPageBreak/>
        <w:t>También llama la atención el reducido número de estacionamientos para bicicletas, que, según la resolución de permiso PE Nº 35 de 2019, sólo ascienden a 174, debiendo corresponder a la mitad del total de estacionamientos para vehículos (752 unidades), por lo que sería exigible 387 estacionamientos para bicicletas.</w:t>
      </w:r>
    </w:p>
    <w:p w:rsidR="009547ED" w:rsidRDefault="009547ED" w:rsidP="009547ED"/>
    <w:p w:rsidR="009547ED" w:rsidRDefault="009547ED" w:rsidP="009547ED">
      <w:r>
        <w:t>Sin embargo, para obviar la exigencia de esos estacionamientos para bicicletas, nuevamente se recurre al expediente de haber considerado el proyecto como “obra nueva”, y no como una “ampliación” de otra edificación existente (hotel Sheraton), y por esa vía, se calculó la exigencia para bicicletas sólo respecto de los nuevos estacionamientos para vehículos (325 unidades) para así considerar una dotación de sólo 163 estacionamientos para bicicletas.</w:t>
      </w:r>
    </w:p>
    <w:p w:rsidR="009547ED" w:rsidRDefault="009547ED" w:rsidP="009547ED"/>
    <w:p w:rsidR="009547ED" w:rsidRDefault="009547ED" w:rsidP="009547ED">
      <w:r>
        <w:t>De ahí que, dadas las irregularidades detectadas, solicito a esa Entidad Superior de Fiscalización que las investigue, y si fuera procedente, instruya a la Municipalidad de Providencia para que regularice la situación, incluyendo la aplicación del artículo 53º de la ley Nº 19.880.</w:t>
      </w:r>
    </w:p>
    <w:p w:rsidR="009547ED" w:rsidRDefault="009547ED" w:rsidP="009547ED"/>
    <w:p w:rsidR="009547ED" w:rsidRDefault="009547ED" w:rsidP="009547ED">
      <w:r>
        <w:t>Sin otro particular, le saluda atentamente a usted,</w:t>
      </w:r>
    </w:p>
    <w:p w:rsidR="009547ED" w:rsidRDefault="009547ED" w:rsidP="009547ED"/>
    <w:p w:rsidR="009547ED" w:rsidRDefault="009547ED" w:rsidP="009547ED"/>
    <w:p w:rsidR="00F3717F" w:rsidRDefault="00F3717F" w:rsidP="009547ED"/>
    <w:p w:rsidR="009F01C4" w:rsidRDefault="009547ED">
      <w:r>
        <w:t>Patricio Herman Pacheco</w:t>
      </w:r>
    </w:p>
    <w:p w:rsidR="009547ED" w:rsidRDefault="009547ED">
      <w:r>
        <w:t>Fundación Defendamos la Ciudad</w:t>
      </w:r>
    </w:p>
    <w:sectPr w:rsidR="009547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D1991"/>
    <w:multiLevelType w:val="hybridMultilevel"/>
    <w:tmpl w:val="160E87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47ED"/>
    <w:rsid w:val="00254D02"/>
    <w:rsid w:val="003572A7"/>
    <w:rsid w:val="0059034D"/>
    <w:rsid w:val="005B0487"/>
    <w:rsid w:val="007C750C"/>
    <w:rsid w:val="009547ED"/>
    <w:rsid w:val="009F01C4"/>
    <w:rsid w:val="009F4020"/>
    <w:rsid w:val="00AE651E"/>
    <w:rsid w:val="00C04FCB"/>
    <w:rsid w:val="00D70921"/>
    <w:rsid w:val="00EF426C"/>
    <w:rsid w:val="00F371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AC3360-80BE-4220-8C70-31038BBD7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47ED"/>
    <w:pPr>
      <w:spacing w:after="0" w:line="36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47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1410</Words>
  <Characters>8039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cp:lastPrinted>2020-09-10T22:07:00Z</cp:lastPrinted>
  <dcterms:created xsi:type="dcterms:W3CDTF">2020-09-11T22:33:00Z</dcterms:created>
  <dcterms:modified xsi:type="dcterms:W3CDTF">2020-09-11T22:33:00Z</dcterms:modified>
</cp:coreProperties>
</file>