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706BF" w14:textId="13D25845" w:rsidR="00680AD5" w:rsidRDefault="00630EBD" w:rsidP="00630EBD">
      <w:pPr>
        <w:jc w:val="center"/>
        <w:rPr>
          <w:b/>
          <w:bCs/>
        </w:rPr>
      </w:pPr>
      <w:bookmarkStart w:id="0" w:name="_GoBack"/>
      <w:bookmarkEnd w:id="0"/>
      <w:r w:rsidRPr="00630EBD">
        <w:rPr>
          <w:b/>
          <w:bCs/>
        </w:rPr>
        <w:t>INFORME DE LA COMISIÓN ESPECIAL INVESTIGADORA DE LOS ACTOS DE LOS ÓRGANOS DE LA ADMINISTRACIÓN ENCARGADOS DE FISCALIZAR LOS CASINOS DE JUEGO, PARTICULARMENTE RESPECTO DEL ESTADO DE INSOLVENCIA DEL GRUPO ENJOY Y EL DAÑO A FINANZAS REGIONALES Y MUNICIPALES, CEI 49.</w:t>
      </w:r>
    </w:p>
    <w:p w14:paraId="0790FCDA" w14:textId="6040E9FF" w:rsidR="00630EBD" w:rsidRDefault="00630EBD" w:rsidP="00630EBD">
      <w:pPr>
        <w:jc w:val="center"/>
        <w:rPr>
          <w:b/>
          <w:bCs/>
        </w:rPr>
      </w:pPr>
    </w:p>
    <w:p w14:paraId="621C05A2" w14:textId="42E81526" w:rsidR="00630EBD" w:rsidRDefault="00CC594F" w:rsidP="00630EBD">
      <w:pPr>
        <w:jc w:val="both"/>
      </w:pPr>
      <w:r>
        <w:rPr>
          <w:b/>
          <w:bCs/>
        </w:rPr>
        <w:t xml:space="preserve"> </w:t>
      </w:r>
    </w:p>
    <w:p w14:paraId="355DBB52" w14:textId="57DA990B" w:rsidR="00630EBD" w:rsidRDefault="00CC594F" w:rsidP="00630EBD">
      <w:pPr>
        <w:jc w:val="both"/>
      </w:pPr>
      <w:r>
        <w:t xml:space="preserve"> </w:t>
      </w:r>
      <w:r w:rsidRPr="00CC594F">
        <w:t xml:space="preserve">En mi calidad de diputado informante de la labor realizada por la Comisión Especial Investigadora de los actos de los órganos de la administración encargados de fiscalizar los casinos de juego, particularmente respecto del estado de insolvencia del grupo </w:t>
      </w:r>
      <w:proofErr w:type="spellStart"/>
      <w:r w:rsidRPr="00CC594F">
        <w:t>Enjoy</w:t>
      </w:r>
      <w:proofErr w:type="spellEnd"/>
      <w:r w:rsidRPr="00CC594F">
        <w:t xml:space="preserve"> y el daño a finanzas regionales y municipales, CEI 49, me permito comentar lo siguiente.</w:t>
      </w:r>
    </w:p>
    <w:p w14:paraId="01A19D92" w14:textId="1C57D69B" w:rsidR="00630EBD" w:rsidRDefault="00630EBD" w:rsidP="00630EBD">
      <w:pPr>
        <w:jc w:val="both"/>
      </w:pPr>
      <w:r>
        <w:t xml:space="preserve">En la sesión celebrada el 26 de mayo de 2020, prestó su aprobación a la solicitud de constituirla, con la finalidad de investigar las formas en que los organismos públicos encargados de la fiscalización de los casinos de juego están realizando ésta función y, en especial del estado de insolvencia del grupo </w:t>
      </w:r>
      <w:proofErr w:type="spellStart"/>
      <w:r>
        <w:t>Enjoy</w:t>
      </w:r>
      <w:proofErr w:type="spellEnd"/>
      <w:r>
        <w:t xml:space="preserve"> y daño a las finanzas regionales y municipales en diversas zonas del país, la posible paralización de planes de apoyo social, la pérdida de empleos y la rendición de cuentas de la correcta inversión de los flujos previamente recibidos en los gobiernos regionales y municipios de Antofagasta, Valparaíso, Viña del Mar, Rinconada, Araucanía, Pucón, Los Lagos y Puerto Varas, respectivamente </w:t>
      </w:r>
    </w:p>
    <w:p w14:paraId="70D0ACAE" w14:textId="1C9DABDF" w:rsidR="00CC594F" w:rsidRDefault="00CC594F" w:rsidP="00630EBD">
      <w:pPr>
        <w:jc w:val="both"/>
      </w:pPr>
      <w:r w:rsidRPr="00CC594F">
        <w:t>La Comisión se constituyó el 3 de junio de 2020 y eligió como su Presidente, por unanimidad, al diputado señor Rodrigo González Torres, y fijó los martes de 09:00 a 10:00 horas, para efectuar sus sesiones ordinarias</w:t>
      </w:r>
    </w:p>
    <w:p w14:paraId="08562524" w14:textId="77777777" w:rsidR="00CC594F" w:rsidRDefault="00630EBD" w:rsidP="00630EBD">
      <w:pPr>
        <w:jc w:val="both"/>
      </w:pPr>
      <w:r>
        <w:t xml:space="preserve">Para el cumplimiento de la tarea encomendada por la Corporación, la Comisión abordó su tarea sobre la base de un plan de trabajo propuesto por su Presidente en la sesión de 9 de junio de 2020. En virtud del mismo, durante su funcionamiento, citó y escuchó a diversos personeros, tanto del ámbito público como del privado, quienes la ilustraron sobre aspectos de hecho, legales, técnicos y administrativos de su objeto. </w:t>
      </w:r>
    </w:p>
    <w:p w14:paraId="09F1C3CA" w14:textId="769B1D37" w:rsidR="00630EBD" w:rsidRDefault="00630EBD" w:rsidP="00630EBD">
      <w:pPr>
        <w:jc w:val="both"/>
      </w:pPr>
      <w:r>
        <w:t xml:space="preserve">La Comisión celebró </w:t>
      </w:r>
      <w:r w:rsidR="00CC594F">
        <w:t>un gran número de</w:t>
      </w:r>
      <w:r>
        <w:t xml:space="preserve"> sesiones</w:t>
      </w:r>
      <w:r w:rsidR="00CC594F">
        <w:t>, contándose un total de 22 sesiones ordinarias y especiales, además de la sesión constitutiva.</w:t>
      </w:r>
      <w:r>
        <w:t xml:space="preserve"> </w:t>
      </w:r>
      <w:r w:rsidR="00CC594F">
        <w:t xml:space="preserve"> </w:t>
      </w:r>
    </w:p>
    <w:p w14:paraId="4A215D17" w14:textId="0205FD48" w:rsidR="00CC594F" w:rsidRPr="00CC594F" w:rsidRDefault="00CC594F" w:rsidP="00CC594F">
      <w:pPr>
        <w:jc w:val="both"/>
      </w:pPr>
      <w:r w:rsidRPr="00CC594F">
        <w:t xml:space="preserve"> En el marco del desarrollo de su trabajo vuestra Comisión remitió un elevado número de oficios y recibió el testimonio de una quincena de invitadas e invitados, cuyas intervenciones pueden ser consultadas tanto en el cuerpo del informe que obra en poder de vuestras señorías, como en las versiones taquigráficas y actas de sus sesiones. Destacándose entre ellas al ex subsecretario de Hacienda Francisco Moreno, la señora Superintendente de Casinos de Salas de Juego, Vivien Villagrán, la señora Directora del Trabajo, los alcaldes de las municipalidades que cuentan con establecimientos de juego, los representantes de los trabajadores de Casinos y Casas de Juego, y especialistas del mundo académico.</w:t>
      </w:r>
    </w:p>
    <w:p w14:paraId="7CFD2394" w14:textId="77777777" w:rsidR="00CC594F" w:rsidRPr="00CC594F" w:rsidRDefault="00CC594F" w:rsidP="00CC594F">
      <w:pPr>
        <w:jc w:val="both"/>
        <w:rPr>
          <w:b/>
          <w:bCs/>
        </w:rPr>
      </w:pPr>
    </w:p>
    <w:p w14:paraId="164AD802" w14:textId="77777777" w:rsidR="00CC594F" w:rsidRPr="00CC594F" w:rsidRDefault="00CC594F" w:rsidP="00CC594F">
      <w:pPr>
        <w:jc w:val="both"/>
      </w:pPr>
      <w:r w:rsidRPr="00CC594F">
        <w:lastRenderedPageBreak/>
        <w:t>Al término de su labor la Comisión, acordó, por la unanimidad de las y los diputados presentes en su última sesión, sendas conclusiones y propuestas, las que se encuentran desarrolladas in extenso en el cuerpo del informe que obra en vuestro poder.</w:t>
      </w:r>
    </w:p>
    <w:p w14:paraId="6BF98F47" w14:textId="504D864A" w:rsidR="00FF1F37" w:rsidRPr="00CC594F" w:rsidRDefault="00CC594F" w:rsidP="00CC594F">
      <w:pPr>
        <w:jc w:val="both"/>
      </w:pPr>
      <w:r w:rsidRPr="00CC594F">
        <w:t>Una síntesis, en honor al tiempo asignado, me permite señalar que concluimos que la Superintendencia de Casinos de Juego incumplió su rol fiscalizador en las siguientes situaciones:</w:t>
      </w:r>
    </w:p>
    <w:p w14:paraId="1EF25C45" w14:textId="77777777" w:rsidR="00157805" w:rsidRDefault="00FF1F37" w:rsidP="00157805">
      <w:pPr>
        <w:spacing w:after="0"/>
        <w:jc w:val="both"/>
        <w:rPr>
          <w:b/>
          <w:bCs/>
        </w:rPr>
      </w:pPr>
      <w:r w:rsidRPr="00CC594F">
        <w:cr/>
      </w:r>
      <w:r w:rsidRPr="00FF1F37">
        <w:rPr>
          <w:b/>
          <w:bCs/>
        </w:rPr>
        <w:t>A.- Préstamos a jugadores en Casino Rinconada de Los Andes.</w:t>
      </w:r>
      <w:r w:rsidRPr="00FF1F37">
        <w:rPr>
          <w:b/>
          <w:bCs/>
        </w:rPr>
        <w:cr/>
      </w:r>
    </w:p>
    <w:p w14:paraId="02B11658" w14:textId="5EE409C1" w:rsidR="00157805" w:rsidRPr="00CB4DF3" w:rsidRDefault="00CC594F" w:rsidP="00CC594F">
      <w:pPr>
        <w:jc w:val="both"/>
        <w:rPr>
          <w:color w:val="4472C4" w:themeColor="accent1"/>
          <w:sz w:val="28"/>
          <w:szCs w:val="28"/>
        </w:rPr>
      </w:pPr>
      <w:r w:rsidRPr="00CB4DF3">
        <w:rPr>
          <w:color w:val="4472C4" w:themeColor="accent1"/>
          <w:sz w:val="28"/>
          <w:szCs w:val="28"/>
        </w:rPr>
        <w:t xml:space="preserve">El Grupo </w:t>
      </w:r>
      <w:proofErr w:type="spellStart"/>
      <w:r w:rsidRPr="00CB4DF3">
        <w:rPr>
          <w:color w:val="4472C4" w:themeColor="accent1"/>
          <w:sz w:val="28"/>
          <w:szCs w:val="28"/>
        </w:rPr>
        <w:t>Enjoy</w:t>
      </w:r>
      <w:proofErr w:type="spellEnd"/>
      <w:r w:rsidRPr="00CB4DF3">
        <w:rPr>
          <w:color w:val="4472C4" w:themeColor="accent1"/>
          <w:sz w:val="28"/>
          <w:szCs w:val="28"/>
        </w:rPr>
        <w:t xml:space="preserve"> S.A. fue denunciado en el año 2015 por otorgar crédito a sus jugadores, en especial en su casino de Rinconada de Los Andes. </w:t>
      </w:r>
    </w:p>
    <w:p w14:paraId="08A8371E" w14:textId="38572848" w:rsidR="00157805" w:rsidRPr="00CB4DF3" w:rsidRDefault="00157805" w:rsidP="00CC594F">
      <w:pPr>
        <w:jc w:val="both"/>
        <w:rPr>
          <w:color w:val="4472C4" w:themeColor="accent1"/>
          <w:sz w:val="28"/>
          <w:szCs w:val="28"/>
        </w:rPr>
      </w:pPr>
      <w:r w:rsidRPr="00CB4DF3">
        <w:rPr>
          <w:color w:val="4472C4" w:themeColor="accent1"/>
          <w:sz w:val="28"/>
          <w:szCs w:val="28"/>
        </w:rPr>
        <w:t>En consecuencia, no cabe duda que e</w:t>
      </w:r>
      <w:r w:rsidR="00FF1F37" w:rsidRPr="00CB4DF3">
        <w:rPr>
          <w:color w:val="4472C4" w:themeColor="accent1"/>
          <w:sz w:val="28"/>
          <w:szCs w:val="28"/>
        </w:rPr>
        <w:t xml:space="preserve">xiste una </w:t>
      </w:r>
      <w:r w:rsidR="00FF1F37" w:rsidRPr="00CB4DF3">
        <w:rPr>
          <w:b/>
          <w:bCs/>
          <w:i/>
          <w:iCs/>
          <w:color w:val="4472C4" w:themeColor="accent1"/>
          <w:sz w:val="28"/>
          <w:szCs w:val="28"/>
        </w:rPr>
        <w:t>omisión evidente en el cumplimiento del rol fiscalizador que tiene la Superintendencia con las sociedades operadoras de casinos de juego, específicamente, en cumplir cabalmente con las obligaciones que les impone la Ley N°19.995 en materia de fiscalización y sanciones respecto de conductas que están prohibidas en el cuerpo legal</w:t>
      </w:r>
      <w:r w:rsidR="00FF1F37" w:rsidRPr="00CB4DF3">
        <w:rPr>
          <w:color w:val="4472C4" w:themeColor="accent1"/>
          <w:sz w:val="28"/>
          <w:szCs w:val="28"/>
        </w:rPr>
        <w:t xml:space="preserve">, como lo sería el funcionamiento de servicios anexos no autorizados o no permitidos en el ordenamiento jurídico vigente. </w:t>
      </w:r>
    </w:p>
    <w:p w14:paraId="1C1B31F3" w14:textId="53734844" w:rsidR="00FF1F37" w:rsidRPr="00CB4DF3" w:rsidRDefault="00FF1F37" w:rsidP="00CC594F">
      <w:pPr>
        <w:jc w:val="both"/>
        <w:rPr>
          <w:color w:val="4472C4" w:themeColor="accent1"/>
          <w:sz w:val="28"/>
          <w:szCs w:val="28"/>
        </w:rPr>
      </w:pPr>
      <w:r w:rsidRPr="00CB4DF3">
        <w:rPr>
          <w:color w:val="4472C4" w:themeColor="accent1"/>
          <w:sz w:val="28"/>
          <w:szCs w:val="28"/>
        </w:rPr>
        <w:t>Respecto del otorgamiento de crédito de los jugadores, se requiere de una acción decidida de la Superintendencia de Casinos de Juego para evitar que en los casinos de juego se otorgue, por cualquier medio, crédito a los jugadores, sancionando a los operadores que faciliten esta conducta. Sin perjuicio de ello, se requiere de reformas legales que perfeccionen las facultades de la Superintendencia de Casinos de Juego en esta materia.</w:t>
      </w:r>
    </w:p>
    <w:p w14:paraId="7EBCF1AD" w14:textId="7FCA08A2" w:rsidR="00D9778D" w:rsidRDefault="00D9778D" w:rsidP="00FF1F37">
      <w:pPr>
        <w:jc w:val="both"/>
        <w:rPr>
          <w:b/>
          <w:bCs/>
        </w:rPr>
      </w:pPr>
      <w:r>
        <w:rPr>
          <w:b/>
          <w:bCs/>
        </w:rPr>
        <w:t xml:space="preserve">B.- </w:t>
      </w:r>
      <w:r w:rsidRPr="00D9778D">
        <w:rPr>
          <w:b/>
          <w:bCs/>
        </w:rPr>
        <w:t>Omisiones en la adjudicación de los denominados “casinos municipales”</w:t>
      </w:r>
    </w:p>
    <w:p w14:paraId="5CBBAD2D" w14:textId="09520006" w:rsidR="00157805" w:rsidRPr="00CB4DF3" w:rsidRDefault="00157805" w:rsidP="00FF1F37">
      <w:pPr>
        <w:jc w:val="both"/>
        <w:rPr>
          <w:color w:val="4472C4" w:themeColor="accent1"/>
          <w:sz w:val="28"/>
          <w:szCs w:val="28"/>
        </w:rPr>
      </w:pPr>
      <w:r w:rsidRPr="00CB4DF3">
        <w:rPr>
          <w:color w:val="4472C4" w:themeColor="accent1"/>
          <w:sz w:val="28"/>
          <w:szCs w:val="28"/>
        </w:rPr>
        <w:t xml:space="preserve"> Con fecha 8 de junio de 2018, el Consejo Resolutivo de la Superintendencia de Casinos de Juego otorgó los permisos de operación para casino de juegos a las sociedades Casino del Lago S.A, Región de La Araucanía; Casino de Puerto Varas S.A., Región de Los Lagos; Casino de la Bahía S.A., Región de Coquimbo; y Casino del Mar S.A., Región de Valparaíso. Todos ellos pertenecientes al grupo </w:t>
      </w:r>
      <w:proofErr w:type="spellStart"/>
      <w:r w:rsidRPr="00CB4DF3">
        <w:rPr>
          <w:color w:val="4472C4" w:themeColor="accent1"/>
          <w:sz w:val="28"/>
          <w:szCs w:val="28"/>
        </w:rPr>
        <w:t>Enjoy</w:t>
      </w:r>
      <w:proofErr w:type="spellEnd"/>
      <w:r w:rsidRPr="00CB4DF3">
        <w:rPr>
          <w:color w:val="4472C4" w:themeColor="accent1"/>
          <w:sz w:val="28"/>
          <w:szCs w:val="28"/>
        </w:rPr>
        <w:t xml:space="preserve"> S.A.</w:t>
      </w:r>
    </w:p>
    <w:p w14:paraId="561C52CD" w14:textId="29D793E3" w:rsidR="00D9778D" w:rsidRPr="00CB4DF3" w:rsidRDefault="00157805" w:rsidP="00FF1F37">
      <w:pPr>
        <w:jc w:val="both"/>
        <w:rPr>
          <w:color w:val="4472C4" w:themeColor="accent1"/>
          <w:sz w:val="28"/>
          <w:szCs w:val="28"/>
        </w:rPr>
      </w:pPr>
      <w:r w:rsidRPr="00CB4DF3">
        <w:rPr>
          <w:color w:val="4472C4" w:themeColor="accent1"/>
          <w:sz w:val="28"/>
          <w:szCs w:val="28"/>
        </w:rPr>
        <w:t xml:space="preserve">Dada la normativa vigente, </w:t>
      </w:r>
      <w:r w:rsidRPr="00CB4DF3">
        <w:rPr>
          <w:b/>
          <w:bCs/>
          <w:i/>
          <w:iCs/>
          <w:color w:val="4472C4" w:themeColor="accent1"/>
          <w:sz w:val="28"/>
          <w:szCs w:val="28"/>
        </w:rPr>
        <w:t xml:space="preserve">existiría una omisión fragrante en la actuación de </w:t>
      </w:r>
      <w:r w:rsidR="00D9778D" w:rsidRPr="00CB4DF3">
        <w:rPr>
          <w:b/>
          <w:bCs/>
          <w:i/>
          <w:iCs/>
          <w:color w:val="4472C4" w:themeColor="accent1"/>
          <w:sz w:val="28"/>
          <w:szCs w:val="28"/>
        </w:rPr>
        <w:t>la Superintendenta de Casinos de Juego</w:t>
      </w:r>
      <w:r w:rsidR="00D9778D" w:rsidRPr="00CB4DF3">
        <w:rPr>
          <w:color w:val="4472C4" w:themeColor="accent1"/>
          <w:sz w:val="28"/>
          <w:szCs w:val="28"/>
        </w:rPr>
        <w:t xml:space="preserve">, no solo por omitir la información referida a los préstamos que realiza </w:t>
      </w:r>
      <w:proofErr w:type="spellStart"/>
      <w:r w:rsidR="00D9778D" w:rsidRPr="00CB4DF3">
        <w:rPr>
          <w:color w:val="4472C4" w:themeColor="accent1"/>
          <w:sz w:val="28"/>
          <w:szCs w:val="28"/>
        </w:rPr>
        <w:t>Enjoy</w:t>
      </w:r>
      <w:proofErr w:type="spellEnd"/>
      <w:r w:rsidR="00D9778D" w:rsidRPr="00CB4DF3">
        <w:rPr>
          <w:color w:val="4472C4" w:themeColor="accent1"/>
          <w:sz w:val="28"/>
          <w:szCs w:val="28"/>
        </w:rPr>
        <w:t xml:space="preserve"> Gestión Limitada, en pleno conocimiento de la Superintendencia, sino que también por validar ofertas </w:t>
      </w:r>
      <w:r w:rsidR="00D9778D" w:rsidRPr="00CB4DF3">
        <w:rPr>
          <w:color w:val="4472C4" w:themeColor="accent1"/>
          <w:sz w:val="28"/>
          <w:szCs w:val="28"/>
        </w:rPr>
        <w:lastRenderedPageBreak/>
        <w:t>económicas que serían inviables de cumplir. Aspectos esenciales para que el Consejo Resolutivo de la Superintendencia de Casinos de Juego tomara las decisiones de adjudicación de los permisos de operación.</w:t>
      </w:r>
    </w:p>
    <w:p w14:paraId="1060BDAB" w14:textId="3BD658BF" w:rsidR="00D9778D" w:rsidRDefault="00D9778D" w:rsidP="00D9778D">
      <w:pPr>
        <w:jc w:val="both"/>
        <w:rPr>
          <w:b/>
          <w:bCs/>
        </w:rPr>
      </w:pPr>
      <w:r w:rsidRPr="00E24535">
        <w:rPr>
          <w:b/>
          <w:bCs/>
        </w:rPr>
        <w:t xml:space="preserve">C.- Respecto de la operación de juego online por parte de </w:t>
      </w:r>
      <w:proofErr w:type="spellStart"/>
      <w:r w:rsidRPr="00E24535">
        <w:rPr>
          <w:b/>
          <w:bCs/>
        </w:rPr>
        <w:t>Enjoy</w:t>
      </w:r>
      <w:proofErr w:type="spellEnd"/>
      <w:r w:rsidRPr="00E24535">
        <w:rPr>
          <w:b/>
          <w:bCs/>
        </w:rPr>
        <w:t xml:space="preserve"> Gestión Limitada.</w:t>
      </w:r>
    </w:p>
    <w:p w14:paraId="2917629E" w14:textId="246B1557" w:rsidR="00E24535" w:rsidRPr="00CB4DF3" w:rsidRDefault="00157805" w:rsidP="00E24535">
      <w:pPr>
        <w:jc w:val="both"/>
        <w:rPr>
          <w:color w:val="4472C4" w:themeColor="accent1"/>
          <w:sz w:val="28"/>
          <w:szCs w:val="28"/>
        </w:rPr>
      </w:pPr>
      <w:r w:rsidRPr="00CB4DF3">
        <w:rPr>
          <w:color w:val="4472C4" w:themeColor="accent1"/>
          <w:sz w:val="28"/>
          <w:szCs w:val="28"/>
        </w:rPr>
        <w:t xml:space="preserve"> Al tenor de lo expuesto, se aprecia que los casinos </w:t>
      </w:r>
      <w:proofErr w:type="spellStart"/>
      <w:r w:rsidRPr="00CB4DF3">
        <w:rPr>
          <w:color w:val="4472C4" w:themeColor="accent1"/>
          <w:sz w:val="28"/>
          <w:szCs w:val="28"/>
        </w:rPr>
        <w:t>Enjoy</w:t>
      </w:r>
      <w:proofErr w:type="spellEnd"/>
      <w:r w:rsidRPr="00CB4DF3">
        <w:rPr>
          <w:color w:val="4472C4" w:themeColor="accent1"/>
          <w:sz w:val="28"/>
          <w:szCs w:val="28"/>
        </w:rPr>
        <w:t xml:space="preserve"> están explotando juegos online, actividad que les está expresamente prohibida a los casinos de juego, tal como lo estipula el artículo 5° de la llamada ley de casinos.</w:t>
      </w:r>
    </w:p>
    <w:p w14:paraId="3B1E6D11" w14:textId="1E3578C0" w:rsidR="00157805" w:rsidRPr="00CB4DF3" w:rsidRDefault="00157805" w:rsidP="00E24535">
      <w:pPr>
        <w:jc w:val="both"/>
        <w:rPr>
          <w:b/>
          <w:bCs/>
          <w:color w:val="4472C4" w:themeColor="accent1"/>
          <w:sz w:val="28"/>
          <w:szCs w:val="28"/>
        </w:rPr>
      </w:pPr>
      <w:r w:rsidRPr="00CB4DF3">
        <w:rPr>
          <w:color w:val="4472C4" w:themeColor="accent1"/>
          <w:sz w:val="28"/>
          <w:szCs w:val="28"/>
        </w:rPr>
        <w:t xml:space="preserve">En efecto, </w:t>
      </w:r>
      <w:r w:rsidRPr="00CB4DF3">
        <w:rPr>
          <w:b/>
          <w:bCs/>
          <w:color w:val="4472C4" w:themeColor="accent1"/>
          <w:sz w:val="28"/>
          <w:szCs w:val="28"/>
        </w:rPr>
        <w:t xml:space="preserve">siendo una causal de revocación del permiso de operación, es evidente la gravedad de la conducta desplegada por las sociedades operadoras de propiedad del grupo </w:t>
      </w:r>
      <w:proofErr w:type="spellStart"/>
      <w:r w:rsidRPr="00CB4DF3">
        <w:rPr>
          <w:b/>
          <w:bCs/>
          <w:color w:val="4472C4" w:themeColor="accent1"/>
          <w:sz w:val="28"/>
          <w:szCs w:val="28"/>
        </w:rPr>
        <w:t>Enjoy</w:t>
      </w:r>
      <w:proofErr w:type="spellEnd"/>
      <w:r w:rsidRPr="00CB4DF3">
        <w:rPr>
          <w:b/>
          <w:bCs/>
          <w:color w:val="4472C4" w:themeColor="accent1"/>
          <w:sz w:val="28"/>
          <w:szCs w:val="28"/>
        </w:rPr>
        <w:t>, lo que tendría que haber dado lugar al inicio de un procedimiento sancionatorio y si se comprobaba que efectivamente se estuvieron desarrollando juegos de azar online se debió hacer la denuncia correspondiente al Ministerio Público en virtud de lo dispuesto en el numeral 16 del artículo 42 de la Ley N°19.995.</w:t>
      </w:r>
    </w:p>
    <w:p w14:paraId="2FAF79A7" w14:textId="018028B2" w:rsidR="00E24535" w:rsidRDefault="00E24535" w:rsidP="00E24535">
      <w:pPr>
        <w:jc w:val="both"/>
        <w:rPr>
          <w:b/>
          <w:bCs/>
        </w:rPr>
      </w:pPr>
      <w:r w:rsidRPr="00E24535">
        <w:rPr>
          <w:b/>
          <w:bCs/>
        </w:rPr>
        <w:t xml:space="preserve">D.- Omisión de la Superintendencia de Casinos de Juego consistente en permitir el funcionamiento de un servicio anexo no autorizado para que </w:t>
      </w:r>
      <w:proofErr w:type="spellStart"/>
      <w:r w:rsidRPr="00E24535">
        <w:rPr>
          <w:b/>
          <w:bCs/>
        </w:rPr>
        <w:t>Enjoy</w:t>
      </w:r>
      <w:proofErr w:type="spellEnd"/>
      <w:r w:rsidRPr="00E24535">
        <w:rPr>
          <w:b/>
          <w:bCs/>
        </w:rPr>
        <w:t xml:space="preserve"> Gestión Limitada realice canje de cheques de clientes por </w:t>
      </w:r>
      <w:proofErr w:type="spellStart"/>
      <w:r w:rsidRPr="00E24535">
        <w:rPr>
          <w:b/>
          <w:bCs/>
        </w:rPr>
        <w:t>voucher</w:t>
      </w:r>
      <w:proofErr w:type="spellEnd"/>
      <w:r w:rsidRPr="00E24535">
        <w:rPr>
          <w:b/>
          <w:bCs/>
        </w:rPr>
        <w:t xml:space="preserve"> canjeables por fichas de juego</w:t>
      </w:r>
      <w:r>
        <w:rPr>
          <w:b/>
          <w:bCs/>
        </w:rPr>
        <w:t>.</w:t>
      </w:r>
    </w:p>
    <w:p w14:paraId="2CA5F015" w14:textId="36E22B2A" w:rsidR="00E24535" w:rsidRPr="00CB4DF3" w:rsidRDefault="00157805" w:rsidP="00E24535">
      <w:pPr>
        <w:jc w:val="both"/>
        <w:rPr>
          <w:color w:val="4472C4" w:themeColor="accent1"/>
          <w:sz w:val="28"/>
          <w:szCs w:val="28"/>
        </w:rPr>
      </w:pPr>
      <w:r w:rsidRPr="00CB4DF3">
        <w:rPr>
          <w:color w:val="4472C4" w:themeColor="accent1"/>
          <w:sz w:val="28"/>
          <w:szCs w:val="28"/>
        </w:rPr>
        <w:t xml:space="preserve"> </w:t>
      </w:r>
      <w:r w:rsidR="00D10B96" w:rsidRPr="00CB4DF3">
        <w:rPr>
          <w:color w:val="4472C4" w:themeColor="accent1"/>
          <w:sz w:val="28"/>
          <w:szCs w:val="28"/>
        </w:rPr>
        <w:t xml:space="preserve">En consecuencia, </w:t>
      </w:r>
      <w:r w:rsidR="00D10B96" w:rsidRPr="00CB4DF3">
        <w:rPr>
          <w:b/>
          <w:bCs/>
          <w:color w:val="4472C4" w:themeColor="accent1"/>
          <w:sz w:val="28"/>
          <w:szCs w:val="28"/>
        </w:rPr>
        <w:t>existiría una omisión en el cumplimiento del rol fiscalizador que tiene la Superintendencia con las sociedades operadoras de casinos de juego y, en especial con la investigación de idoneidad de sus accionistas</w:t>
      </w:r>
      <w:r w:rsidR="00D10B96" w:rsidRPr="00CB4DF3">
        <w:rPr>
          <w:color w:val="4472C4" w:themeColor="accent1"/>
          <w:sz w:val="28"/>
          <w:szCs w:val="28"/>
        </w:rPr>
        <w:t xml:space="preserve">. Sobre esta operación, resalta la poca rigurosidad del análisis efectuado por la Superintendencia de Casinos de Juego, al no considerar información relevante que ya existía 184 en el mercado y que daba cuenta de la situación financiera de </w:t>
      </w:r>
      <w:proofErr w:type="spellStart"/>
      <w:r w:rsidR="00D10B96" w:rsidRPr="00CB4DF3">
        <w:rPr>
          <w:color w:val="4472C4" w:themeColor="accent1"/>
          <w:sz w:val="28"/>
          <w:szCs w:val="28"/>
        </w:rPr>
        <w:t>Enjoy</w:t>
      </w:r>
      <w:proofErr w:type="spellEnd"/>
      <w:r w:rsidR="00D10B96" w:rsidRPr="00CB4DF3">
        <w:rPr>
          <w:color w:val="4472C4" w:themeColor="accent1"/>
          <w:sz w:val="28"/>
          <w:szCs w:val="28"/>
        </w:rPr>
        <w:t>.</w:t>
      </w:r>
    </w:p>
    <w:p w14:paraId="000BAEA8" w14:textId="041DB7E5" w:rsidR="00BB13A0" w:rsidRPr="00BB13A0" w:rsidRDefault="00BB13A0" w:rsidP="00E24535">
      <w:pPr>
        <w:jc w:val="both"/>
        <w:rPr>
          <w:b/>
          <w:bCs/>
        </w:rPr>
      </w:pPr>
      <w:r>
        <w:rPr>
          <w:b/>
          <w:bCs/>
        </w:rPr>
        <w:t>E</w:t>
      </w:r>
      <w:r w:rsidRPr="00BB13A0">
        <w:rPr>
          <w:b/>
          <w:bCs/>
        </w:rPr>
        <w:t xml:space="preserve">.- Omisión de la Superintendencia de Casinos de Juego respecto de los antecedentes financieros de </w:t>
      </w:r>
      <w:proofErr w:type="spellStart"/>
      <w:r w:rsidRPr="00BB13A0">
        <w:rPr>
          <w:b/>
          <w:bCs/>
        </w:rPr>
        <w:t>Enjoy</w:t>
      </w:r>
      <w:proofErr w:type="spellEnd"/>
      <w:r w:rsidRPr="00BB13A0">
        <w:rPr>
          <w:b/>
          <w:bCs/>
        </w:rPr>
        <w:t xml:space="preserve"> S.A.</w:t>
      </w:r>
    </w:p>
    <w:p w14:paraId="34DBE658" w14:textId="77777777" w:rsidR="00D10B96" w:rsidRPr="00CB4DF3" w:rsidRDefault="00D10B96" w:rsidP="00E24535">
      <w:pPr>
        <w:jc w:val="both"/>
        <w:rPr>
          <w:color w:val="4472C4" w:themeColor="accent1"/>
          <w:sz w:val="28"/>
          <w:szCs w:val="28"/>
        </w:rPr>
      </w:pPr>
      <w:r w:rsidRPr="00CB4DF3">
        <w:rPr>
          <w:color w:val="4472C4" w:themeColor="accent1"/>
          <w:sz w:val="28"/>
          <w:szCs w:val="28"/>
        </w:rPr>
        <w:t xml:space="preserve"> La presentación del profesor Olivares muestra con claridad, mediante información pública, que la crítica situación financiera de </w:t>
      </w:r>
      <w:proofErr w:type="spellStart"/>
      <w:r w:rsidRPr="00CB4DF3">
        <w:rPr>
          <w:color w:val="4472C4" w:themeColor="accent1"/>
          <w:sz w:val="28"/>
          <w:szCs w:val="28"/>
        </w:rPr>
        <w:t>Enjoy</w:t>
      </w:r>
      <w:proofErr w:type="spellEnd"/>
      <w:r w:rsidRPr="00CB4DF3">
        <w:rPr>
          <w:color w:val="4472C4" w:themeColor="accent1"/>
          <w:sz w:val="28"/>
          <w:szCs w:val="28"/>
        </w:rPr>
        <w:t xml:space="preserve"> S.A. era previa al 24 de abril de 2020, fecha cuando la empresa informa que debe acogerse a una reorganización judicial debido a que es incapaz de cumplir con los compromisos financieros, justificándola en el estallido social del 18 de octubre y en la pandemia por el covid-19. Sin embargo, los informes financieros </w:t>
      </w:r>
      <w:r w:rsidRPr="00CB4DF3">
        <w:rPr>
          <w:color w:val="4472C4" w:themeColor="accent1"/>
          <w:sz w:val="28"/>
          <w:szCs w:val="28"/>
        </w:rPr>
        <w:lastRenderedPageBreak/>
        <w:t xml:space="preserve">muestran un alto endeudamiento, bajos resultados operacionales y altas pérdidas con anterioridad a esas situaciones. </w:t>
      </w:r>
    </w:p>
    <w:p w14:paraId="45866532" w14:textId="77777777" w:rsidR="00D10B96" w:rsidRPr="00CB4DF3" w:rsidRDefault="00D10B96" w:rsidP="00E24535">
      <w:pPr>
        <w:jc w:val="both"/>
        <w:rPr>
          <w:color w:val="4472C4" w:themeColor="accent1"/>
          <w:sz w:val="28"/>
          <w:szCs w:val="28"/>
        </w:rPr>
      </w:pPr>
      <w:r w:rsidRPr="00CB4DF3">
        <w:rPr>
          <w:color w:val="4472C4" w:themeColor="accent1"/>
          <w:sz w:val="28"/>
          <w:szCs w:val="28"/>
        </w:rPr>
        <w:t xml:space="preserve">Llama la atención </w:t>
      </w:r>
      <w:r w:rsidRPr="00CB4DF3">
        <w:rPr>
          <w:b/>
          <w:bCs/>
          <w:color w:val="4472C4" w:themeColor="accent1"/>
          <w:sz w:val="28"/>
          <w:szCs w:val="28"/>
        </w:rPr>
        <w:t xml:space="preserve">que la Superintendencia desconociera esos antecedentes públicos respecto de la crítica situación financiera de </w:t>
      </w:r>
      <w:proofErr w:type="spellStart"/>
      <w:r w:rsidRPr="00CB4DF3">
        <w:rPr>
          <w:b/>
          <w:bCs/>
          <w:color w:val="4472C4" w:themeColor="accent1"/>
          <w:sz w:val="28"/>
          <w:szCs w:val="28"/>
        </w:rPr>
        <w:t>Enjoy</w:t>
      </w:r>
      <w:proofErr w:type="spellEnd"/>
      <w:r w:rsidRPr="00CB4DF3">
        <w:rPr>
          <w:b/>
          <w:bCs/>
          <w:color w:val="4472C4" w:themeColor="accent1"/>
          <w:sz w:val="28"/>
          <w:szCs w:val="28"/>
        </w:rPr>
        <w:t xml:space="preserve"> S.A</w:t>
      </w:r>
      <w:r w:rsidRPr="00CB4DF3">
        <w:rPr>
          <w:color w:val="4472C4" w:themeColor="accent1"/>
          <w:sz w:val="28"/>
          <w:szCs w:val="28"/>
        </w:rPr>
        <w:t xml:space="preserve">., tanto para el proceso de otorgamiento de los denominados “casinos municipales” ocurrida en junio de 2018, así como cuando otorgó su aprobación en febrero 2019 para que </w:t>
      </w:r>
      <w:proofErr w:type="spellStart"/>
      <w:r w:rsidRPr="00CB4DF3">
        <w:rPr>
          <w:color w:val="4472C4" w:themeColor="accent1"/>
          <w:sz w:val="28"/>
          <w:szCs w:val="28"/>
        </w:rPr>
        <w:t>Enjoy</w:t>
      </w:r>
      <w:proofErr w:type="spellEnd"/>
      <w:r w:rsidRPr="00CB4DF3">
        <w:rPr>
          <w:color w:val="4472C4" w:themeColor="accent1"/>
          <w:sz w:val="28"/>
          <w:szCs w:val="28"/>
        </w:rPr>
        <w:t xml:space="preserve"> Gestión Limitada adquiriera el 99% de las acciones de Casino de Juegos del Pacífico S.A. y de Casino Gran Los Ángeles S.A. </w:t>
      </w:r>
    </w:p>
    <w:p w14:paraId="63A40C5D" w14:textId="73209F26" w:rsidR="00BB13A0" w:rsidRPr="00CB4DF3" w:rsidRDefault="00D10B96" w:rsidP="00E24535">
      <w:pPr>
        <w:jc w:val="both"/>
        <w:rPr>
          <w:color w:val="4472C4" w:themeColor="accent1"/>
          <w:sz w:val="28"/>
          <w:szCs w:val="28"/>
        </w:rPr>
      </w:pPr>
      <w:r w:rsidRPr="00CB4DF3">
        <w:rPr>
          <w:color w:val="4472C4" w:themeColor="accent1"/>
          <w:sz w:val="28"/>
          <w:szCs w:val="28"/>
        </w:rPr>
        <w:t xml:space="preserve">En consecuencia, </w:t>
      </w:r>
      <w:r w:rsidRPr="00CB4DF3">
        <w:rPr>
          <w:b/>
          <w:bCs/>
          <w:color w:val="4472C4" w:themeColor="accent1"/>
          <w:sz w:val="28"/>
          <w:szCs w:val="28"/>
        </w:rPr>
        <w:t>existiría una omisión en el cumplimiento del rol fiscalizador que tiene la Superintendencia de Casinos de Juego con las sociedades operadoras de casinos de juego y, en especial, con la investigación financiera de sus accionistas</w:t>
      </w:r>
      <w:r w:rsidRPr="00CB4DF3">
        <w:rPr>
          <w:color w:val="4472C4" w:themeColor="accent1"/>
          <w:sz w:val="28"/>
          <w:szCs w:val="28"/>
        </w:rPr>
        <w:t xml:space="preserve">, como es el caso de </w:t>
      </w:r>
      <w:proofErr w:type="spellStart"/>
      <w:r w:rsidRPr="00CB4DF3">
        <w:rPr>
          <w:color w:val="4472C4" w:themeColor="accent1"/>
          <w:sz w:val="28"/>
          <w:szCs w:val="28"/>
        </w:rPr>
        <w:t>Enjoy</w:t>
      </w:r>
      <w:proofErr w:type="spellEnd"/>
      <w:r w:rsidRPr="00CB4DF3">
        <w:rPr>
          <w:color w:val="4472C4" w:themeColor="accent1"/>
          <w:sz w:val="28"/>
          <w:szCs w:val="28"/>
        </w:rPr>
        <w:t xml:space="preserve"> S.A.</w:t>
      </w:r>
    </w:p>
    <w:p w14:paraId="08826690" w14:textId="318908C2" w:rsidR="00BB13A0" w:rsidRDefault="00BB13A0" w:rsidP="00E24535">
      <w:pPr>
        <w:jc w:val="both"/>
        <w:rPr>
          <w:b/>
          <w:bCs/>
        </w:rPr>
      </w:pPr>
      <w:r>
        <w:rPr>
          <w:b/>
          <w:bCs/>
        </w:rPr>
        <w:t xml:space="preserve">F.- </w:t>
      </w:r>
      <w:r w:rsidRPr="00BB13A0">
        <w:rPr>
          <w:b/>
          <w:bCs/>
        </w:rPr>
        <w:t xml:space="preserve">Omisión de la Superintendencia de Casinos de Juego respecto de la falta de evaluación por el ingreso de </w:t>
      </w:r>
      <w:proofErr w:type="spellStart"/>
      <w:r w:rsidRPr="00BB13A0">
        <w:rPr>
          <w:b/>
          <w:bCs/>
        </w:rPr>
        <w:t>Advent</w:t>
      </w:r>
      <w:proofErr w:type="spellEnd"/>
      <w:r w:rsidRPr="00BB13A0">
        <w:rPr>
          <w:b/>
          <w:bCs/>
        </w:rPr>
        <w:t xml:space="preserve"> como nuevo accionista de </w:t>
      </w:r>
      <w:proofErr w:type="spellStart"/>
      <w:r w:rsidRPr="00BB13A0">
        <w:rPr>
          <w:b/>
          <w:bCs/>
        </w:rPr>
        <w:t>Enjoy</w:t>
      </w:r>
      <w:proofErr w:type="spellEnd"/>
      <w:r w:rsidRPr="00BB13A0">
        <w:rPr>
          <w:b/>
          <w:bCs/>
        </w:rPr>
        <w:t>.</w:t>
      </w:r>
    </w:p>
    <w:p w14:paraId="54C91262" w14:textId="77777777" w:rsidR="00D10B96" w:rsidRPr="00CB4DF3" w:rsidRDefault="00D10B96" w:rsidP="00E24535">
      <w:pPr>
        <w:jc w:val="both"/>
        <w:rPr>
          <w:b/>
          <w:bCs/>
          <w:color w:val="4472C4" w:themeColor="accent1"/>
          <w:sz w:val="28"/>
          <w:szCs w:val="28"/>
        </w:rPr>
      </w:pPr>
      <w:r w:rsidRPr="00CB4DF3">
        <w:rPr>
          <w:color w:val="4472C4" w:themeColor="accent1"/>
          <w:sz w:val="28"/>
          <w:szCs w:val="28"/>
        </w:rPr>
        <w:t xml:space="preserve"> Habiéndose comprometido a entregar la documentación correspondiente </w:t>
      </w:r>
      <w:r w:rsidRPr="00CB4DF3">
        <w:rPr>
          <w:b/>
          <w:bCs/>
          <w:color w:val="4472C4" w:themeColor="accent1"/>
          <w:sz w:val="28"/>
          <w:szCs w:val="28"/>
        </w:rPr>
        <w:t xml:space="preserve">la Superintendencia de Casinos nunca remitió el informe interno que habría avalado la decisión de autorizar el ingreso de </w:t>
      </w:r>
      <w:proofErr w:type="spellStart"/>
      <w:r w:rsidRPr="00CB4DF3">
        <w:rPr>
          <w:b/>
          <w:bCs/>
          <w:color w:val="4472C4" w:themeColor="accent1"/>
          <w:sz w:val="28"/>
          <w:szCs w:val="28"/>
        </w:rPr>
        <w:t>Advent</w:t>
      </w:r>
      <w:proofErr w:type="spellEnd"/>
      <w:r w:rsidRPr="00CB4DF3">
        <w:rPr>
          <w:b/>
          <w:bCs/>
          <w:color w:val="4472C4" w:themeColor="accent1"/>
          <w:sz w:val="28"/>
          <w:szCs w:val="28"/>
        </w:rPr>
        <w:t xml:space="preserve"> a la propiedad de </w:t>
      </w:r>
      <w:proofErr w:type="spellStart"/>
      <w:r w:rsidRPr="00CB4DF3">
        <w:rPr>
          <w:b/>
          <w:bCs/>
          <w:color w:val="4472C4" w:themeColor="accent1"/>
          <w:sz w:val="28"/>
          <w:szCs w:val="28"/>
        </w:rPr>
        <w:t>Enjoy</w:t>
      </w:r>
      <w:proofErr w:type="spellEnd"/>
      <w:r w:rsidRPr="00CB4DF3">
        <w:rPr>
          <w:b/>
          <w:bCs/>
          <w:color w:val="4472C4" w:themeColor="accent1"/>
          <w:sz w:val="28"/>
          <w:szCs w:val="28"/>
        </w:rPr>
        <w:t xml:space="preserve"> como nuevo accionista. </w:t>
      </w:r>
    </w:p>
    <w:p w14:paraId="7F60C7E8" w14:textId="77777777" w:rsidR="00D10B96" w:rsidRPr="00CB4DF3" w:rsidRDefault="00D10B96" w:rsidP="00E24535">
      <w:pPr>
        <w:jc w:val="both"/>
        <w:rPr>
          <w:color w:val="4472C4" w:themeColor="accent1"/>
          <w:sz w:val="28"/>
          <w:szCs w:val="28"/>
        </w:rPr>
      </w:pPr>
      <w:r w:rsidRPr="00CB4DF3">
        <w:rPr>
          <w:color w:val="4472C4" w:themeColor="accent1"/>
          <w:sz w:val="28"/>
          <w:szCs w:val="28"/>
        </w:rPr>
        <w:t xml:space="preserve">Cabe precisar que el artículo 18 de la ley N°19.995, no especifica ninguna excepción, por lo que cabe concluir que la evaluación a </w:t>
      </w:r>
      <w:proofErr w:type="spellStart"/>
      <w:r w:rsidRPr="00CB4DF3">
        <w:rPr>
          <w:color w:val="4472C4" w:themeColor="accent1"/>
          <w:sz w:val="28"/>
          <w:szCs w:val="28"/>
        </w:rPr>
        <w:t>Advent</w:t>
      </w:r>
      <w:proofErr w:type="spellEnd"/>
      <w:r w:rsidRPr="00CB4DF3">
        <w:rPr>
          <w:color w:val="4472C4" w:themeColor="accent1"/>
          <w:sz w:val="28"/>
          <w:szCs w:val="28"/>
        </w:rPr>
        <w:t xml:space="preserve"> igualmente debió haber sido ser realizada, independiente si el regulador norteamericano realizó o no una evaluación similar. </w:t>
      </w:r>
    </w:p>
    <w:p w14:paraId="3E022875" w14:textId="40D325E0" w:rsidR="00BB13A0" w:rsidRPr="00CB4DF3" w:rsidRDefault="00D10B96" w:rsidP="00E24535">
      <w:pPr>
        <w:jc w:val="both"/>
        <w:rPr>
          <w:sz w:val="28"/>
          <w:szCs w:val="28"/>
        </w:rPr>
      </w:pPr>
      <w:r w:rsidRPr="00CB4DF3">
        <w:rPr>
          <w:b/>
          <w:bCs/>
          <w:color w:val="4472C4" w:themeColor="accent1"/>
          <w:sz w:val="28"/>
          <w:szCs w:val="28"/>
        </w:rPr>
        <w:t>Estos hechos deben ser investigados por la Contraloría General de la República</w:t>
      </w:r>
      <w:r w:rsidRPr="00CB4DF3">
        <w:rPr>
          <w:color w:val="4472C4" w:themeColor="accent1"/>
          <w:sz w:val="28"/>
          <w:szCs w:val="28"/>
        </w:rPr>
        <w:t>, quien deberá determinar si el actuar de la Superintendencia se apegó al marco normativo que rige la industria, específicamente respecto de la calificación de inversionista institucional y la posible vulneración del artículo 18 de la ley 19995.</w:t>
      </w:r>
    </w:p>
    <w:p w14:paraId="153F96C9" w14:textId="3085500B" w:rsidR="00BB13A0" w:rsidRDefault="00D10B96" w:rsidP="00E24535">
      <w:pPr>
        <w:jc w:val="both"/>
        <w:rPr>
          <w:b/>
          <w:bCs/>
        </w:rPr>
      </w:pPr>
      <w:r>
        <w:t xml:space="preserve"> </w:t>
      </w:r>
      <w:r w:rsidR="00BB13A0">
        <w:rPr>
          <w:b/>
          <w:bCs/>
        </w:rPr>
        <w:t xml:space="preserve">G.- </w:t>
      </w:r>
      <w:r w:rsidR="00BB13A0" w:rsidRPr="00BB13A0">
        <w:rPr>
          <w:b/>
          <w:bCs/>
        </w:rPr>
        <w:t xml:space="preserve">Procedencia de autorización de parte de la Superintendencia de Casinos de Juego, respecto de la renovación de boletas de garantía por pólizas de seguro, por </w:t>
      </w:r>
      <w:proofErr w:type="spellStart"/>
      <w:r w:rsidR="00BB13A0" w:rsidRPr="00BB13A0">
        <w:rPr>
          <w:b/>
          <w:bCs/>
        </w:rPr>
        <w:t>Enjoy</w:t>
      </w:r>
      <w:proofErr w:type="spellEnd"/>
      <w:r w:rsidR="00BB13A0" w:rsidRPr="00BB13A0">
        <w:rPr>
          <w:b/>
          <w:bCs/>
        </w:rPr>
        <w:t xml:space="preserve"> S.A., en el contexto del proceso de renovación de las licitaciones de los casinos municipales.</w:t>
      </w:r>
    </w:p>
    <w:p w14:paraId="021E7970" w14:textId="055C7504" w:rsidR="00BB13A0" w:rsidRPr="00CB4DF3" w:rsidRDefault="00D10B96" w:rsidP="00E24535">
      <w:pPr>
        <w:jc w:val="both"/>
        <w:rPr>
          <w:color w:val="4472C4" w:themeColor="accent1"/>
          <w:sz w:val="28"/>
          <w:szCs w:val="28"/>
        </w:rPr>
      </w:pPr>
      <w:r>
        <w:t xml:space="preserve"> </w:t>
      </w:r>
      <w:r w:rsidRPr="00CB4DF3">
        <w:rPr>
          <w:color w:val="4472C4" w:themeColor="accent1"/>
          <w:sz w:val="28"/>
          <w:szCs w:val="28"/>
        </w:rPr>
        <w:t xml:space="preserve">Con fecha 14 de julio del año 2020 el grupo </w:t>
      </w:r>
      <w:proofErr w:type="spellStart"/>
      <w:r w:rsidRPr="00CB4DF3">
        <w:rPr>
          <w:color w:val="4472C4" w:themeColor="accent1"/>
          <w:sz w:val="28"/>
          <w:szCs w:val="28"/>
        </w:rPr>
        <w:t>Enjoy</w:t>
      </w:r>
      <w:proofErr w:type="spellEnd"/>
      <w:r w:rsidRPr="00CB4DF3">
        <w:rPr>
          <w:color w:val="4472C4" w:themeColor="accent1"/>
          <w:sz w:val="28"/>
          <w:szCs w:val="28"/>
        </w:rPr>
        <w:t xml:space="preserve"> S.A. renovó sus boletas en garantía, correspondiente a los casinos ubicados en las ciudades de Coquimbo, </w:t>
      </w:r>
      <w:r w:rsidRPr="00CB4DF3">
        <w:rPr>
          <w:color w:val="4472C4" w:themeColor="accent1"/>
          <w:sz w:val="28"/>
          <w:szCs w:val="28"/>
        </w:rPr>
        <w:lastRenderedPageBreak/>
        <w:t>Viña del Mar, Pucón y Puerto Varas, las cuales se encontraban próximas a su vencimiento (31 de julio 2020). Al revisar la documentación correspondiente a esta renovación se detectó que algunas boletas en garantía que debían ser renovadas fueron reemplazadas por pólizas de seguro en cada casino.</w:t>
      </w:r>
    </w:p>
    <w:p w14:paraId="4701C4B6" w14:textId="401A6E63" w:rsidR="00D10B96" w:rsidRPr="00CB4DF3" w:rsidRDefault="00D10B96" w:rsidP="00E24535">
      <w:pPr>
        <w:jc w:val="both"/>
        <w:rPr>
          <w:color w:val="4472C4" w:themeColor="accent1"/>
          <w:sz w:val="28"/>
          <w:szCs w:val="28"/>
        </w:rPr>
      </w:pPr>
      <w:r w:rsidRPr="00CB4DF3">
        <w:rPr>
          <w:color w:val="4472C4" w:themeColor="accent1"/>
          <w:sz w:val="28"/>
          <w:szCs w:val="28"/>
        </w:rPr>
        <w:t xml:space="preserve">En consecuencia, esta Comisión estima que </w:t>
      </w:r>
      <w:r w:rsidRPr="00CB4DF3">
        <w:rPr>
          <w:b/>
          <w:bCs/>
          <w:color w:val="4472C4" w:themeColor="accent1"/>
          <w:sz w:val="28"/>
          <w:szCs w:val="28"/>
        </w:rPr>
        <w:t>estos antecedentes deben ser evaluados por la Contraloría General de la República, con la finalidad de detectar posibles vulneraciones al marco regulatorio de la industria de casinos de juego, por parte de la Superintendencia de Casinos de Juego</w:t>
      </w:r>
      <w:r w:rsidRPr="00CB4DF3">
        <w:rPr>
          <w:color w:val="4472C4" w:themeColor="accent1"/>
          <w:sz w:val="28"/>
          <w:szCs w:val="28"/>
        </w:rPr>
        <w:t>, en relación al reemplazo de boletas de garantía por pólizas de seguro.</w:t>
      </w:r>
    </w:p>
    <w:p w14:paraId="5295B2A5" w14:textId="6E2C00D6" w:rsidR="00244BA4" w:rsidRPr="00CB4DF3" w:rsidRDefault="00244BA4" w:rsidP="00244BA4">
      <w:pPr>
        <w:rPr>
          <w:b/>
          <w:bCs/>
          <w:color w:val="4472C4" w:themeColor="accent1"/>
          <w:sz w:val="28"/>
          <w:szCs w:val="28"/>
        </w:rPr>
      </w:pPr>
      <w:r w:rsidRPr="00CB4DF3">
        <w:rPr>
          <w:b/>
          <w:bCs/>
          <w:color w:val="4472C4" w:themeColor="accent1"/>
          <w:sz w:val="28"/>
          <w:szCs w:val="28"/>
        </w:rPr>
        <w:t xml:space="preserve">ATRIBUCIONES DE LA SUPERINTENDENCIA DE CASINOS DE JUEGO. </w:t>
      </w:r>
    </w:p>
    <w:p w14:paraId="6DD12623" w14:textId="555CE267" w:rsidR="00244BA4" w:rsidRPr="00CB4DF3" w:rsidRDefault="00244BA4" w:rsidP="00E24535">
      <w:pPr>
        <w:jc w:val="both"/>
        <w:rPr>
          <w:color w:val="4472C4" w:themeColor="accent1"/>
          <w:sz w:val="28"/>
          <w:szCs w:val="28"/>
        </w:rPr>
      </w:pPr>
      <w:r w:rsidRPr="00CB4DF3">
        <w:rPr>
          <w:color w:val="4472C4" w:themeColor="accent1"/>
          <w:sz w:val="28"/>
          <w:szCs w:val="28"/>
        </w:rPr>
        <w:t xml:space="preserve">Al tenor de lo analizado, pareciera que </w:t>
      </w:r>
      <w:r w:rsidRPr="00CB4DF3">
        <w:rPr>
          <w:b/>
          <w:bCs/>
          <w:i/>
          <w:iCs/>
          <w:color w:val="4472C4" w:themeColor="accent1"/>
          <w:sz w:val="28"/>
          <w:szCs w:val="28"/>
        </w:rPr>
        <w:t xml:space="preserve">no hacen falta más atribuciones para la Superintendencia ni al Superintendente, sino que se requiere que la autoridad a cargo aplique con la debida diligencia, </w:t>
      </w:r>
      <w:r w:rsidRPr="00CB4DF3">
        <w:rPr>
          <w:color w:val="4472C4" w:themeColor="accent1"/>
          <w:sz w:val="28"/>
          <w:szCs w:val="28"/>
        </w:rPr>
        <w:t>el marco de competencias definidas en los artículos 37 y 42 de la Ley N° 19.995; para que de esa manera se proteja la fe pública y se promueva un desarrollo sustentable de la industria.</w:t>
      </w:r>
    </w:p>
    <w:p w14:paraId="676669EC" w14:textId="4F3B1ECD" w:rsidR="00244BA4" w:rsidRPr="00D10B96" w:rsidRDefault="00D10B96" w:rsidP="00E24535">
      <w:pPr>
        <w:jc w:val="both"/>
      </w:pPr>
      <w:r w:rsidRPr="00D10B96">
        <w:t xml:space="preserve"> En virtud de ello acordó las siguientes propuestas:</w:t>
      </w:r>
    </w:p>
    <w:p w14:paraId="37DE97AF" w14:textId="77777777" w:rsidR="00D10B96" w:rsidRPr="00834CB1" w:rsidRDefault="00D10B96" w:rsidP="00D10B96">
      <w:pPr>
        <w:jc w:val="both"/>
      </w:pPr>
      <w:r w:rsidRPr="00834CB1">
        <w:t xml:space="preserve"> I.- Respecto del sistema de préstamos o cupos para juego estimables en dinero </w:t>
      </w:r>
    </w:p>
    <w:p w14:paraId="716DDA54" w14:textId="77777777" w:rsidR="00D10B96" w:rsidRPr="00CB4DF3" w:rsidRDefault="00D10B96" w:rsidP="00D10B96">
      <w:pPr>
        <w:jc w:val="both"/>
        <w:rPr>
          <w:color w:val="FF0000"/>
          <w:sz w:val="28"/>
          <w:szCs w:val="28"/>
        </w:rPr>
      </w:pPr>
      <w:r w:rsidRPr="00CB4DF3">
        <w:rPr>
          <w:color w:val="FF0000"/>
          <w:sz w:val="28"/>
          <w:szCs w:val="28"/>
        </w:rPr>
        <w:t xml:space="preserve">a. </w:t>
      </w:r>
      <w:r w:rsidRPr="00CB4DF3">
        <w:rPr>
          <w:b/>
          <w:bCs/>
          <w:color w:val="FF0000"/>
          <w:sz w:val="28"/>
          <w:szCs w:val="28"/>
        </w:rPr>
        <w:t>AMPLIAR LA PROHIBICIÓN</w:t>
      </w:r>
      <w:r w:rsidRPr="00CB4DF3">
        <w:rPr>
          <w:color w:val="FF0000"/>
          <w:sz w:val="28"/>
          <w:szCs w:val="28"/>
        </w:rPr>
        <w:t xml:space="preserve"> que tienen los casinos de juego de otorgar créditos a jugadores (art. 7) a empresas relacionadas con las sociedades operadoras, las que debieran tener la responsabilidad de su cumplimiento.    </w:t>
      </w:r>
    </w:p>
    <w:p w14:paraId="1E5DCCD7" w14:textId="77777777" w:rsidR="00D10B96" w:rsidRPr="00CB4DF3" w:rsidRDefault="00D10B96" w:rsidP="00D10B96">
      <w:pPr>
        <w:jc w:val="both"/>
        <w:rPr>
          <w:color w:val="FF0000"/>
          <w:sz w:val="28"/>
          <w:szCs w:val="28"/>
        </w:rPr>
      </w:pPr>
      <w:r w:rsidRPr="00CB4DF3">
        <w:rPr>
          <w:color w:val="FF0000"/>
          <w:sz w:val="28"/>
          <w:szCs w:val="28"/>
        </w:rPr>
        <w:t xml:space="preserve">b. </w:t>
      </w:r>
      <w:r w:rsidRPr="00CB4DF3">
        <w:rPr>
          <w:b/>
          <w:bCs/>
          <w:color w:val="FF0000"/>
          <w:sz w:val="28"/>
          <w:szCs w:val="28"/>
        </w:rPr>
        <w:t>AMPLIAR LAS SANCIONES ADMINISTRATIVAS</w:t>
      </w:r>
      <w:r w:rsidRPr="00CB4DF3">
        <w:rPr>
          <w:color w:val="FF0000"/>
          <w:sz w:val="28"/>
          <w:szCs w:val="28"/>
        </w:rPr>
        <w:t xml:space="preserve"> para las sociedades operadoras o empresas relacionadas que otorguen crédito a jugadores, incluyéndolas entre las sanciones graves dispuestas en el artículo 31 de la Ley N° 19.995.</w:t>
      </w:r>
    </w:p>
    <w:p w14:paraId="0F88258E" w14:textId="77777777" w:rsidR="00D10B96" w:rsidRPr="00CB4DF3" w:rsidRDefault="00D10B96" w:rsidP="00D10B96">
      <w:pPr>
        <w:jc w:val="both"/>
        <w:rPr>
          <w:color w:val="FF0000"/>
          <w:sz w:val="28"/>
          <w:szCs w:val="28"/>
        </w:rPr>
      </w:pPr>
      <w:r w:rsidRPr="00CB4DF3">
        <w:rPr>
          <w:color w:val="FF0000"/>
          <w:sz w:val="28"/>
          <w:szCs w:val="28"/>
        </w:rPr>
        <w:t xml:space="preserve">c.  </w:t>
      </w:r>
      <w:r w:rsidRPr="00CB4DF3">
        <w:rPr>
          <w:b/>
          <w:bCs/>
          <w:color w:val="FF0000"/>
          <w:sz w:val="28"/>
          <w:szCs w:val="28"/>
        </w:rPr>
        <w:t>REMITIR LOS ANTECEDENTES</w:t>
      </w:r>
      <w:r w:rsidRPr="00CB4DF3">
        <w:rPr>
          <w:color w:val="FF0000"/>
          <w:sz w:val="28"/>
          <w:szCs w:val="28"/>
        </w:rPr>
        <w:t xml:space="preserve"> a la Comisión para el Mercado Financiero y al Servicio de Impuestos Internos, para que se indague la posible comisión de infracciones a la ley que se pudieran configurar en las conductas de omisión de denuncia oportuna, por parte de la Superintendencia; injerencia indebida en el giro bancario, infracción a la ley de Mercado de Valores -por eventual omisión u ocultamiento de información al mercado en el caso de sociedades anónimas abiertas- y posible vulneración a los artículos 94 y siguientes del Código Tributario.</w:t>
      </w:r>
    </w:p>
    <w:p w14:paraId="75157D11" w14:textId="77777777" w:rsidR="00D10B96" w:rsidRPr="00CB4DF3" w:rsidRDefault="00D10B96" w:rsidP="00D10B96">
      <w:pPr>
        <w:jc w:val="both"/>
        <w:rPr>
          <w:color w:val="FF0000"/>
          <w:sz w:val="28"/>
          <w:szCs w:val="28"/>
        </w:rPr>
      </w:pPr>
      <w:r w:rsidRPr="00CB4DF3">
        <w:rPr>
          <w:color w:val="FF0000"/>
          <w:sz w:val="28"/>
          <w:szCs w:val="28"/>
        </w:rPr>
        <w:lastRenderedPageBreak/>
        <w:t xml:space="preserve">d. </w:t>
      </w:r>
      <w:r w:rsidRPr="00CB4DF3">
        <w:rPr>
          <w:b/>
          <w:bCs/>
          <w:color w:val="FF0000"/>
          <w:sz w:val="28"/>
          <w:szCs w:val="28"/>
        </w:rPr>
        <w:t>REMITIR</w:t>
      </w:r>
      <w:r w:rsidRPr="00CB4DF3">
        <w:rPr>
          <w:color w:val="FF0000"/>
          <w:sz w:val="28"/>
          <w:szCs w:val="28"/>
        </w:rPr>
        <w:t xml:space="preserve"> los antecedentes recopilados en esta Comisión para que la Contraloría General de la República inicie un proceso investigativo a la Superintendencia de Casinos de Juego, con la finalidad de detectar vulneraciones al artículo 54 de la Ley Orgánica de Bases Generales de la Administración del Estado Nº18.575, específicamente en relación a su actuar respecto de préstamos a jugadores y desarrollo de juego online sin autorización, como también la interpretación jurídica dada por el ente regulador de carecer de facultades para fiscalizar “aguas arriba”.</w:t>
      </w:r>
    </w:p>
    <w:p w14:paraId="546BF620" w14:textId="77777777" w:rsidR="00D10B96" w:rsidRPr="00834CB1" w:rsidRDefault="00D10B96" w:rsidP="00D10B96">
      <w:pPr>
        <w:jc w:val="both"/>
      </w:pPr>
    </w:p>
    <w:p w14:paraId="4CCE1AB1" w14:textId="77777777" w:rsidR="00D10B96" w:rsidRPr="00834CB1" w:rsidRDefault="00D10B96" w:rsidP="00D10B96">
      <w:pPr>
        <w:jc w:val="both"/>
      </w:pPr>
      <w:r w:rsidRPr="00834CB1">
        <w:t xml:space="preserve">II. Respecto del funcionamiento de servicio anexo no autorizado para que </w:t>
      </w:r>
      <w:proofErr w:type="spellStart"/>
      <w:r w:rsidRPr="00834CB1">
        <w:t>Enjoy</w:t>
      </w:r>
      <w:proofErr w:type="spellEnd"/>
      <w:r w:rsidRPr="00834CB1">
        <w:t xml:space="preserve"> Gestión Limitada realice canje de cheques de clientes por </w:t>
      </w:r>
      <w:proofErr w:type="spellStart"/>
      <w:r w:rsidRPr="00834CB1">
        <w:t>voucher</w:t>
      </w:r>
      <w:proofErr w:type="spellEnd"/>
      <w:r w:rsidRPr="00834CB1">
        <w:t xml:space="preserve"> canjeables por fichas de juego.</w:t>
      </w:r>
    </w:p>
    <w:p w14:paraId="19E2D5D0" w14:textId="77777777" w:rsidR="00D10B96" w:rsidRPr="00CB4DF3" w:rsidRDefault="00D10B96" w:rsidP="00D10B96">
      <w:pPr>
        <w:jc w:val="both"/>
        <w:rPr>
          <w:color w:val="FF0000"/>
          <w:sz w:val="28"/>
          <w:szCs w:val="28"/>
        </w:rPr>
      </w:pPr>
      <w:r w:rsidRPr="00CB4DF3">
        <w:rPr>
          <w:color w:val="FF0000"/>
          <w:sz w:val="28"/>
          <w:szCs w:val="28"/>
        </w:rPr>
        <w:t xml:space="preserve">Remitir los antecedentes a Contraloría General de la República para que fiscalice la eventual omisión en la actuación de la Superintendencia de Casinos de Juego. </w:t>
      </w:r>
    </w:p>
    <w:p w14:paraId="2E315A6A" w14:textId="77777777" w:rsidR="00D10B96" w:rsidRPr="00CB4DF3" w:rsidRDefault="00D10B96" w:rsidP="00D10B96">
      <w:pPr>
        <w:jc w:val="both"/>
        <w:rPr>
          <w:sz w:val="28"/>
          <w:szCs w:val="28"/>
        </w:rPr>
      </w:pPr>
    </w:p>
    <w:p w14:paraId="366663C8" w14:textId="77777777" w:rsidR="00D10B96" w:rsidRPr="00834CB1" w:rsidRDefault="00D10B96" w:rsidP="00D10B96">
      <w:pPr>
        <w:jc w:val="both"/>
      </w:pPr>
      <w:r w:rsidRPr="00834CB1">
        <w:t>III. Respecto del proceso de licitación de los llamados “casinos municipales”</w:t>
      </w:r>
    </w:p>
    <w:p w14:paraId="110ED03E" w14:textId="77777777" w:rsidR="00D10B96" w:rsidRPr="00CB4DF3" w:rsidRDefault="00D10B96" w:rsidP="00D10B96">
      <w:pPr>
        <w:jc w:val="both"/>
        <w:rPr>
          <w:color w:val="FF0000"/>
          <w:sz w:val="28"/>
          <w:szCs w:val="28"/>
        </w:rPr>
      </w:pPr>
      <w:r w:rsidRPr="00CB4DF3">
        <w:rPr>
          <w:color w:val="FF0000"/>
          <w:sz w:val="28"/>
          <w:szCs w:val="28"/>
        </w:rPr>
        <w:t xml:space="preserve">Remitir los antecedentes a Contraloría General de la República para que fiscalice la eventual omisión en la actuación de la Superintendencia de Casinos de Juego. </w:t>
      </w:r>
    </w:p>
    <w:p w14:paraId="0057932C" w14:textId="77777777" w:rsidR="00D10B96" w:rsidRPr="00834CB1" w:rsidRDefault="00D10B96" w:rsidP="00D10B96">
      <w:pPr>
        <w:jc w:val="both"/>
      </w:pPr>
      <w:r w:rsidRPr="00834CB1">
        <w:t xml:space="preserve">IV. Proceso de compra por parte de </w:t>
      </w:r>
      <w:proofErr w:type="spellStart"/>
      <w:r w:rsidRPr="00834CB1">
        <w:t>Enjoy</w:t>
      </w:r>
      <w:proofErr w:type="spellEnd"/>
      <w:r w:rsidRPr="00834CB1">
        <w:t xml:space="preserve"> de los casinos de las ciudades de San Antonio y Los Ángeles</w:t>
      </w:r>
    </w:p>
    <w:p w14:paraId="3AB5BEC0" w14:textId="77777777" w:rsidR="00D10B96" w:rsidRPr="00CB4DF3" w:rsidRDefault="00D10B96" w:rsidP="00D10B96">
      <w:pPr>
        <w:jc w:val="both"/>
        <w:rPr>
          <w:color w:val="FF0000"/>
          <w:sz w:val="28"/>
          <w:szCs w:val="28"/>
        </w:rPr>
      </w:pPr>
      <w:r w:rsidRPr="00CB4DF3">
        <w:rPr>
          <w:color w:val="FF0000"/>
          <w:sz w:val="28"/>
          <w:szCs w:val="28"/>
        </w:rPr>
        <w:t xml:space="preserve">Remitir los antecedentes a Contraloría General de la República para que fiscalice la eventual omisión en el cumplimiento del rol fiscalizador de la Superintendencia de Casinos de Juego. </w:t>
      </w:r>
    </w:p>
    <w:p w14:paraId="69639554" w14:textId="77777777" w:rsidR="00D10B96" w:rsidRPr="00834CB1" w:rsidRDefault="00D10B96" w:rsidP="00D10B96">
      <w:pPr>
        <w:jc w:val="both"/>
      </w:pPr>
      <w:r w:rsidRPr="00834CB1">
        <w:t xml:space="preserve">V. Respecto de la operación de juego </w:t>
      </w:r>
      <w:proofErr w:type="spellStart"/>
      <w:r w:rsidRPr="00834CB1">
        <w:t>on</w:t>
      </w:r>
      <w:proofErr w:type="spellEnd"/>
      <w:r w:rsidRPr="00834CB1">
        <w:t xml:space="preserve"> line por parte de los casinos </w:t>
      </w:r>
      <w:proofErr w:type="spellStart"/>
      <w:r w:rsidRPr="00834CB1">
        <w:t>Enjoy</w:t>
      </w:r>
      <w:proofErr w:type="spellEnd"/>
    </w:p>
    <w:p w14:paraId="2C64ADFB" w14:textId="77777777" w:rsidR="00D10B96" w:rsidRPr="00CB4DF3" w:rsidRDefault="00D10B96" w:rsidP="00D10B96">
      <w:pPr>
        <w:jc w:val="both"/>
        <w:rPr>
          <w:color w:val="FF0000"/>
          <w:sz w:val="28"/>
          <w:szCs w:val="28"/>
        </w:rPr>
      </w:pPr>
      <w:r w:rsidRPr="00CB4DF3">
        <w:rPr>
          <w:color w:val="FF0000"/>
          <w:sz w:val="28"/>
          <w:szCs w:val="28"/>
        </w:rPr>
        <w:t>Solicitar un pronunciamiento de la Contraloría General de la República en orden a si el comportamiento de la Superintendencia se ajusta a derecho o no.</w:t>
      </w:r>
    </w:p>
    <w:p w14:paraId="2D733054" w14:textId="77777777" w:rsidR="00D10B96" w:rsidRPr="00834CB1" w:rsidRDefault="00D10B96" w:rsidP="00D10B96">
      <w:pPr>
        <w:jc w:val="both"/>
      </w:pPr>
      <w:r w:rsidRPr="00834CB1">
        <w:t xml:space="preserve">VI. Respecto de la incorporación de la empresa </w:t>
      </w:r>
      <w:proofErr w:type="spellStart"/>
      <w:r w:rsidRPr="00834CB1">
        <w:t>Advent</w:t>
      </w:r>
      <w:proofErr w:type="spellEnd"/>
      <w:r w:rsidRPr="00834CB1">
        <w:t xml:space="preserve"> a la propiedad de </w:t>
      </w:r>
      <w:proofErr w:type="spellStart"/>
      <w:r w:rsidRPr="00834CB1">
        <w:t>Enjoy</w:t>
      </w:r>
      <w:proofErr w:type="spellEnd"/>
      <w:r w:rsidRPr="00834CB1">
        <w:t>.</w:t>
      </w:r>
    </w:p>
    <w:p w14:paraId="3711DE8F" w14:textId="77777777" w:rsidR="00D10B96" w:rsidRPr="00CB4DF3" w:rsidRDefault="00D10B96" w:rsidP="00D10B96">
      <w:pPr>
        <w:jc w:val="both"/>
        <w:rPr>
          <w:color w:val="FF0000"/>
          <w:sz w:val="28"/>
          <w:szCs w:val="28"/>
        </w:rPr>
      </w:pPr>
      <w:r w:rsidRPr="00CB4DF3">
        <w:rPr>
          <w:color w:val="FF0000"/>
          <w:sz w:val="28"/>
          <w:szCs w:val="28"/>
        </w:rPr>
        <w:t>Remitir los antecedentes a la Contraloría General de la República para que fiscalice eventuales omisiones de la Superintendencia en su rol de regulador.</w:t>
      </w:r>
    </w:p>
    <w:p w14:paraId="4393D7D6" w14:textId="77777777" w:rsidR="00D10B96" w:rsidRPr="00834CB1" w:rsidRDefault="00D10B96" w:rsidP="00D10B96">
      <w:pPr>
        <w:jc w:val="both"/>
      </w:pPr>
    </w:p>
    <w:p w14:paraId="19CBF5F3" w14:textId="77777777" w:rsidR="00D10B96" w:rsidRPr="00834CB1" w:rsidRDefault="00D10B96" w:rsidP="00D10B96">
      <w:pPr>
        <w:jc w:val="both"/>
      </w:pPr>
      <w:r w:rsidRPr="00834CB1">
        <w:t>IV. Respecto del juego responsable:</w:t>
      </w:r>
    </w:p>
    <w:p w14:paraId="40A73083" w14:textId="77777777" w:rsidR="00D10B96" w:rsidRPr="00CB4DF3" w:rsidRDefault="00D10B96" w:rsidP="00D10B96">
      <w:pPr>
        <w:jc w:val="both"/>
        <w:rPr>
          <w:color w:val="FF0000"/>
          <w:sz w:val="28"/>
          <w:szCs w:val="28"/>
        </w:rPr>
      </w:pPr>
      <w:r w:rsidRPr="00CB4DF3">
        <w:rPr>
          <w:color w:val="FF0000"/>
          <w:sz w:val="28"/>
          <w:szCs w:val="28"/>
        </w:rPr>
        <w:lastRenderedPageBreak/>
        <w:t xml:space="preserve">a. Generar por reglamento, una política nacional de juego responsable, en la que puedan participar el Ministerio de Salud, Senda, y organizaciones como AJUTER. </w:t>
      </w:r>
    </w:p>
    <w:p w14:paraId="68FCE522" w14:textId="77777777" w:rsidR="00D10B96" w:rsidRPr="00CB4DF3" w:rsidRDefault="00D10B96" w:rsidP="00D10B96">
      <w:pPr>
        <w:jc w:val="both"/>
        <w:rPr>
          <w:color w:val="FF0000"/>
          <w:sz w:val="28"/>
          <w:szCs w:val="28"/>
        </w:rPr>
      </w:pPr>
      <w:r w:rsidRPr="00CB4DF3">
        <w:rPr>
          <w:color w:val="FF0000"/>
          <w:sz w:val="28"/>
          <w:szCs w:val="28"/>
        </w:rPr>
        <w:t>b. Facultar a la Superintendencia para instruir a las sociedades operadoras respecto de prácticas que fomenten el juego responsable, como, por ejemplo, entregar mensajes de alerta a jugadores que lleven mucho tiempo jugando o limitar su publicidad, sancionando administrativamente el incumplimiento de dicha instrucción.</w:t>
      </w:r>
    </w:p>
    <w:p w14:paraId="48EF377F" w14:textId="77777777" w:rsidR="00D10B96" w:rsidRPr="00CB4DF3" w:rsidRDefault="00D10B96" w:rsidP="00D10B96">
      <w:pPr>
        <w:jc w:val="both"/>
        <w:rPr>
          <w:color w:val="FF0000"/>
          <w:sz w:val="28"/>
          <w:szCs w:val="28"/>
        </w:rPr>
      </w:pPr>
      <w:r w:rsidRPr="00CB4DF3">
        <w:rPr>
          <w:color w:val="FF0000"/>
          <w:sz w:val="28"/>
          <w:szCs w:val="28"/>
        </w:rPr>
        <w:t xml:space="preserve">c. Relevar el sistema de autoexclusión voluntaria a rango legal y permitir que los familiares directos con un certificado médico puedan excluir a jugadores diagnosticados con ludopatía. </w:t>
      </w:r>
    </w:p>
    <w:p w14:paraId="1C30DD6E" w14:textId="77777777" w:rsidR="00D10B96" w:rsidRPr="00834CB1" w:rsidRDefault="00D10B96" w:rsidP="00D10B96">
      <w:pPr>
        <w:jc w:val="both"/>
      </w:pPr>
    </w:p>
    <w:p w14:paraId="19AB73B8" w14:textId="77777777" w:rsidR="00D10B96" w:rsidRPr="00834CB1" w:rsidRDefault="00D10B96" w:rsidP="00D10B96">
      <w:pPr>
        <w:jc w:val="both"/>
      </w:pPr>
      <w:r w:rsidRPr="00834CB1">
        <w:t xml:space="preserve">V. Respecto de las facultades legales de la Superintendencia </w:t>
      </w:r>
    </w:p>
    <w:p w14:paraId="61831A81" w14:textId="77777777" w:rsidR="00D10B96" w:rsidRPr="00834CB1" w:rsidRDefault="00D10B96" w:rsidP="00D10B96">
      <w:pPr>
        <w:jc w:val="both"/>
      </w:pPr>
      <w:r w:rsidRPr="00834CB1">
        <w:t>Ampliar la facultad de la superintendencia para requerir información a empresas relacionadas que no solo estén referidas a la operación de los casinos de juego como está establecido actualmente (art. 42 n° 12 de la Ley 19.995).</w:t>
      </w:r>
    </w:p>
    <w:p w14:paraId="7D9CBDB2" w14:textId="77777777" w:rsidR="00D10B96" w:rsidRPr="00834CB1" w:rsidRDefault="00D10B96" w:rsidP="00D10B96">
      <w:pPr>
        <w:jc w:val="both"/>
      </w:pPr>
    </w:p>
    <w:p w14:paraId="01265904" w14:textId="77777777" w:rsidR="00D10B96" w:rsidRPr="00834CB1" w:rsidRDefault="00D10B96" w:rsidP="00D10B96">
      <w:pPr>
        <w:jc w:val="both"/>
      </w:pPr>
      <w:r w:rsidRPr="00834CB1">
        <w:t xml:space="preserve">VI. Respecto de EXTENDER ALGUNAS PROHIBICIONES restrictivas a las sociedades operadoras a las empresas relacionadas: </w:t>
      </w:r>
    </w:p>
    <w:p w14:paraId="3731B1F7" w14:textId="77777777" w:rsidR="00D10B96" w:rsidRPr="00834CB1" w:rsidRDefault="00D10B96" w:rsidP="00D10B96">
      <w:pPr>
        <w:jc w:val="both"/>
      </w:pPr>
      <w:r w:rsidRPr="00834CB1">
        <w:t xml:space="preserve">a. Explotar juegos de azar en línea (art. 5); </w:t>
      </w:r>
    </w:p>
    <w:p w14:paraId="08851D76" w14:textId="77777777" w:rsidR="00D10B96" w:rsidRPr="00834CB1" w:rsidRDefault="00D10B96" w:rsidP="00D10B96">
      <w:pPr>
        <w:jc w:val="both"/>
      </w:pPr>
      <w:r w:rsidRPr="00834CB1">
        <w:t xml:space="preserve">b. Incumplimiento de instrucciones y normativa general (art 46); </w:t>
      </w:r>
    </w:p>
    <w:p w14:paraId="75C7F6CE" w14:textId="77777777" w:rsidR="00D10B96" w:rsidRPr="00834CB1" w:rsidRDefault="00D10B96" w:rsidP="00D10B96">
      <w:pPr>
        <w:jc w:val="both"/>
      </w:pPr>
      <w:r w:rsidRPr="00834CB1">
        <w:t>c. Ocultar información (art 47).</w:t>
      </w:r>
    </w:p>
    <w:p w14:paraId="13542CDB" w14:textId="77777777" w:rsidR="00D10B96" w:rsidRPr="00834CB1" w:rsidRDefault="00D10B96" w:rsidP="00D10B96">
      <w:pPr>
        <w:jc w:val="both"/>
      </w:pPr>
    </w:p>
    <w:p w14:paraId="1F499651" w14:textId="77777777" w:rsidR="00D10B96" w:rsidRPr="00834CB1" w:rsidRDefault="00D10B96" w:rsidP="00D10B96">
      <w:pPr>
        <w:jc w:val="both"/>
      </w:pPr>
      <w:r w:rsidRPr="00834CB1">
        <w:t xml:space="preserve">VII. Respecto a flexibilizar el diseño del proceso de otorgamiento de permisos de operación previsto en la actual redacción de la Ley N° 19.995, particularmente respecto de: </w:t>
      </w:r>
    </w:p>
    <w:p w14:paraId="65186336" w14:textId="77777777" w:rsidR="00D10B96" w:rsidRPr="00834CB1" w:rsidRDefault="00D10B96" w:rsidP="00D10B96">
      <w:pPr>
        <w:jc w:val="both"/>
      </w:pPr>
      <w:r w:rsidRPr="00834CB1">
        <w:t xml:space="preserve">a. Determinación de la oferta (art 3); </w:t>
      </w:r>
    </w:p>
    <w:p w14:paraId="73A2FAE3" w14:textId="77777777" w:rsidR="00D10B96" w:rsidRPr="00834CB1" w:rsidRDefault="00D10B96" w:rsidP="00D10B96">
      <w:pPr>
        <w:jc w:val="both"/>
      </w:pPr>
      <w:r w:rsidRPr="00834CB1">
        <w:t xml:space="preserve">b. Territorio por el cual se licita un cupo de casino (art 16); </w:t>
      </w:r>
    </w:p>
    <w:p w14:paraId="4E7FC25C" w14:textId="77777777" w:rsidR="00D10B96" w:rsidRPr="00834CB1" w:rsidRDefault="00D10B96" w:rsidP="00D10B96">
      <w:pPr>
        <w:jc w:val="both"/>
      </w:pPr>
      <w:r w:rsidRPr="00834CB1">
        <w:t xml:space="preserve">c. Etapas y definiciones operativas del proceso (art 19); </w:t>
      </w:r>
    </w:p>
    <w:p w14:paraId="165032D8" w14:textId="77777777" w:rsidR="00D10B96" w:rsidRPr="00834CB1" w:rsidRDefault="00D10B96" w:rsidP="00D10B96">
      <w:pPr>
        <w:jc w:val="both"/>
      </w:pPr>
      <w:r w:rsidRPr="00834CB1">
        <w:t>d. Contenido de la oferta técnica (art 20);</w:t>
      </w:r>
    </w:p>
    <w:p w14:paraId="1DBB3FC5" w14:textId="77777777" w:rsidR="00D10B96" w:rsidRPr="00834CB1" w:rsidRDefault="00D10B96" w:rsidP="00D10B96">
      <w:pPr>
        <w:jc w:val="both"/>
      </w:pPr>
      <w:r w:rsidRPr="00834CB1">
        <w:t>e. Causales para excluir postulaciones en la etapa de evaluación de proyectos, por ejemplo, cumplimiento del plan regulador (art 21 bis);</w:t>
      </w:r>
    </w:p>
    <w:p w14:paraId="338A1DFE" w14:textId="77777777" w:rsidR="00D10B96" w:rsidRPr="00834CB1" w:rsidRDefault="00D10B96" w:rsidP="00D10B96">
      <w:pPr>
        <w:jc w:val="both"/>
      </w:pPr>
      <w:r w:rsidRPr="00834CB1">
        <w:t>f. Evaluación económico-financiera de los proyectos (art 23);</w:t>
      </w:r>
    </w:p>
    <w:p w14:paraId="54AD604E" w14:textId="77777777" w:rsidR="00D10B96" w:rsidRPr="00834CB1" w:rsidRDefault="00D10B96" w:rsidP="00D10B96">
      <w:pPr>
        <w:jc w:val="both"/>
      </w:pPr>
      <w:r w:rsidRPr="00834CB1">
        <w:lastRenderedPageBreak/>
        <w:t>g. Plazos de instalación, considerando la posibilidad de suspensión de los plazos por razones de fuerza mayor o caso fortuito (art 28).</w:t>
      </w:r>
    </w:p>
    <w:p w14:paraId="1A5471AC" w14:textId="77777777" w:rsidR="00D10B96" w:rsidRPr="00834CB1" w:rsidRDefault="00D10B96" w:rsidP="00D10B96">
      <w:pPr>
        <w:jc w:val="both"/>
      </w:pPr>
      <w:r w:rsidRPr="00834CB1">
        <w:t>Contenido obtenido de la presentación del diputado señor Torres – Urrutia.</w:t>
      </w:r>
    </w:p>
    <w:p w14:paraId="34998517" w14:textId="77777777" w:rsidR="00D10B96" w:rsidRPr="00834CB1" w:rsidRDefault="00D10B96" w:rsidP="00D10B96">
      <w:pPr>
        <w:jc w:val="both"/>
      </w:pPr>
    </w:p>
    <w:p w14:paraId="00938047" w14:textId="77777777" w:rsidR="00D10B96" w:rsidRPr="00834CB1" w:rsidRDefault="00D10B96" w:rsidP="00D10B96">
      <w:pPr>
        <w:jc w:val="both"/>
      </w:pPr>
      <w:r w:rsidRPr="00834CB1">
        <w:t>VIII. Respecto de la renovación de boletas de garantía por pólizas de seguro.</w:t>
      </w:r>
    </w:p>
    <w:p w14:paraId="35ACCAC2" w14:textId="77777777" w:rsidR="00D10B96" w:rsidRPr="00CB4DF3" w:rsidRDefault="00D10B96" w:rsidP="00D10B96">
      <w:pPr>
        <w:jc w:val="both"/>
        <w:rPr>
          <w:color w:val="FF0000"/>
          <w:sz w:val="28"/>
          <w:szCs w:val="28"/>
        </w:rPr>
      </w:pPr>
      <w:r w:rsidRPr="00CB4DF3">
        <w:rPr>
          <w:color w:val="FF0000"/>
          <w:sz w:val="28"/>
          <w:szCs w:val="28"/>
        </w:rPr>
        <w:t>Remitir los antecedentes a la Contraloría General de la República, con la finalidad de detectar posibles vulneraciones al marco regulatorio de la industria de casinos de juego, por parte de la Superintendencia de Casinos de Juego, con respecto a la renovación de boletas de garantía por pólizas de seguro.</w:t>
      </w:r>
    </w:p>
    <w:p w14:paraId="40EB3956" w14:textId="77777777" w:rsidR="00D10B96" w:rsidRPr="00CB4DF3" w:rsidRDefault="00D10B96" w:rsidP="00D10B96">
      <w:pPr>
        <w:jc w:val="both"/>
        <w:rPr>
          <w:color w:val="FF0000"/>
          <w:sz w:val="28"/>
          <w:szCs w:val="28"/>
        </w:rPr>
      </w:pPr>
    </w:p>
    <w:p w14:paraId="1B037AC7" w14:textId="77777777" w:rsidR="00D10B96" w:rsidRPr="00CB4DF3" w:rsidRDefault="00D10B96" w:rsidP="00D10B96">
      <w:pPr>
        <w:jc w:val="both"/>
        <w:rPr>
          <w:color w:val="FF0000"/>
          <w:sz w:val="28"/>
          <w:szCs w:val="28"/>
        </w:rPr>
      </w:pPr>
      <w:r w:rsidRPr="00CB4DF3">
        <w:rPr>
          <w:color w:val="FF0000"/>
          <w:sz w:val="28"/>
          <w:szCs w:val="28"/>
        </w:rPr>
        <w:t>2.- Oficiar al señor Subsecretario de Hacienda en orden a incorporar en calidad de miembros permanentes a la totalidad de las organizaciones sindicales de trabajadores de casinos de juegos, en todas y cada una de las instancias de diálogo que implique el tema de la reapertura o destino de la industria.</w:t>
      </w:r>
    </w:p>
    <w:p w14:paraId="6F89D24C" w14:textId="77777777" w:rsidR="00D10B96" w:rsidRPr="00CB4DF3" w:rsidRDefault="00D10B96" w:rsidP="00D10B96">
      <w:pPr>
        <w:jc w:val="both"/>
        <w:rPr>
          <w:sz w:val="28"/>
          <w:szCs w:val="28"/>
        </w:rPr>
      </w:pPr>
    </w:p>
    <w:p w14:paraId="15559BAF" w14:textId="77777777" w:rsidR="00D10B96" w:rsidRPr="00CB4DF3" w:rsidRDefault="00D10B96" w:rsidP="00D10B96">
      <w:pPr>
        <w:jc w:val="both"/>
        <w:rPr>
          <w:color w:val="FF0000"/>
          <w:sz w:val="28"/>
          <w:szCs w:val="28"/>
        </w:rPr>
      </w:pPr>
      <w:r w:rsidRPr="00CB4DF3">
        <w:rPr>
          <w:color w:val="FF0000"/>
          <w:sz w:val="28"/>
          <w:szCs w:val="28"/>
        </w:rPr>
        <w:t>3.- oficiar a la Dirección del Trabajo como a la Contraloría General de la República, en cuanto al cumplimiento de las condiciones especiales contenidas en el artículo transitorio N°3 de la ley 19.995.</w:t>
      </w:r>
    </w:p>
    <w:p w14:paraId="1042359C" w14:textId="77777777" w:rsidR="00D10B96" w:rsidRPr="00CB4DF3" w:rsidRDefault="00D10B96" w:rsidP="00D10B96">
      <w:pPr>
        <w:jc w:val="both"/>
        <w:rPr>
          <w:sz w:val="28"/>
          <w:szCs w:val="28"/>
        </w:rPr>
      </w:pPr>
    </w:p>
    <w:p w14:paraId="570F5B84" w14:textId="77777777" w:rsidR="00D10B96" w:rsidRPr="00CB4DF3" w:rsidRDefault="00D10B96" w:rsidP="00D10B96">
      <w:pPr>
        <w:jc w:val="both"/>
        <w:rPr>
          <w:color w:val="FF0000"/>
          <w:sz w:val="28"/>
          <w:szCs w:val="28"/>
        </w:rPr>
      </w:pPr>
      <w:r w:rsidRPr="00CB4DF3">
        <w:rPr>
          <w:color w:val="FF0000"/>
          <w:sz w:val="28"/>
          <w:szCs w:val="28"/>
        </w:rPr>
        <w:t>4.- Oficiar a cada una de las municipalidades con casinos de juego con la finalidad de conocer de qué forma llevarán adelante sus planes comunales de desarrollo frente a la baja de sus ingresos. Particularmente respecto de aquellos programas de naturaleza social.</w:t>
      </w:r>
    </w:p>
    <w:p w14:paraId="0336B97D" w14:textId="77777777" w:rsidR="00D10B96" w:rsidRPr="00CB4DF3" w:rsidRDefault="00D10B96" w:rsidP="00D10B96">
      <w:pPr>
        <w:jc w:val="both"/>
        <w:rPr>
          <w:color w:val="FF0000"/>
          <w:sz w:val="28"/>
          <w:szCs w:val="28"/>
        </w:rPr>
      </w:pPr>
    </w:p>
    <w:p w14:paraId="65769E6A" w14:textId="1D0E1E22" w:rsidR="00D10B96" w:rsidRPr="00CB4DF3" w:rsidRDefault="00D10B96" w:rsidP="00D10B96">
      <w:pPr>
        <w:jc w:val="both"/>
        <w:rPr>
          <w:color w:val="FF0000"/>
          <w:sz w:val="28"/>
          <w:szCs w:val="28"/>
        </w:rPr>
      </w:pPr>
      <w:r w:rsidRPr="00CB4DF3">
        <w:rPr>
          <w:color w:val="FF0000"/>
          <w:sz w:val="28"/>
          <w:szCs w:val="28"/>
        </w:rPr>
        <w:t xml:space="preserve">5.- Oficiar a su S. E. el Presidente de la República para que estudie la presentación de un mensaje que faculte a la Superintendencia de Casinos a incorporar en los procesos de licitación la contratación de seguros, por parte de los adjudicatarios, que cubran la contingencia de siniestros de tal envergadura que impliquen el cierre temporal de los recintos. Dicho seguro </w:t>
      </w:r>
      <w:r w:rsidRPr="00CB4DF3">
        <w:rPr>
          <w:color w:val="FF0000"/>
          <w:sz w:val="28"/>
          <w:szCs w:val="28"/>
        </w:rPr>
        <w:lastRenderedPageBreak/>
        <w:t>deberá considerar como beneficiarios a las municipalidades y al Fisco -en lo que corresponde a los gobierno</w:t>
      </w:r>
      <w:r w:rsidR="006E6562">
        <w:rPr>
          <w:color w:val="FF0000"/>
          <w:sz w:val="28"/>
          <w:szCs w:val="28"/>
        </w:rPr>
        <w:t>s</w:t>
      </w:r>
      <w:r w:rsidRPr="00CB4DF3">
        <w:rPr>
          <w:color w:val="FF0000"/>
          <w:sz w:val="28"/>
          <w:szCs w:val="28"/>
        </w:rPr>
        <w:t xml:space="preserve"> </w:t>
      </w:r>
    </w:p>
    <w:p w14:paraId="12A83695" w14:textId="77777777" w:rsidR="00D10B96" w:rsidRPr="00834CB1" w:rsidRDefault="00D10B96" w:rsidP="00D10B96">
      <w:pPr>
        <w:jc w:val="both"/>
      </w:pPr>
    </w:p>
    <w:p w14:paraId="5A42B616" w14:textId="77777777" w:rsidR="00D10B96" w:rsidRPr="00834CB1" w:rsidRDefault="00D10B96" w:rsidP="00D10B96">
      <w:pPr>
        <w:jc w:val="both"/>
        <w:rPr>
          <w:b/>
          <w:bCs/>
        </w:rPr>
      </w:pPr>
      <w:r w:rsidRPr="00834CB1">
        <w:rPr>
          <w:b/>
          <w:bCs/>
        </w:rPr>
        <w:t>VOTACIÓN DE CONCLUSIONES y PROPUESTAS</w:t>
      </w:r>
    </w:p>
    <w:p w14:paraId="4C506087" w14:textId="77777777" w:rsidR="00D10B96" w:rsidRPr="00834CB1" w:rsidRDefault="00D10B96" w:rsidP="00D10B96">
      <w:pPr>
        <w:jc w:val="both"/>
      </w:pPr>
    </w:p>
    <w:p w14:paraId="42940285" w14:textId="77777777" w:rsidR="00D10B96" w:rsidRPr="00834CB1" w:rsidRDefault="00D10B96" w:rsidP="00D10B96">
      <w:pPr>
        <w:jc w:val="both"/>
      </w:pPr>
      <w:r w:rsidRPr="00834CB1">
        <w:t xml:space="preserve">Puestas en votación en conjunto, propuestas y conclusiones, éstas se aprobaron con los votos favorables de la diputada Marisela Santibáñez y de los diputados señores Celis, don Andrés; Fuenzalida, don Juan; González, don Rodrigo; </w:t>
      </w:r>
      <w:proofErr w:type="spellStart"/>
      <w:r w:rsidRPr="00834CB1">
        <w:t>Longton</w:t>
      </w:r>
      <w:proofErr w:type="spellEnd"/>
      <w:r w:rsidRPr="00834CB1">
        <w:t xml:space="preserve">, don Andrés; Santana, don Alejandro; Rocafull, don Luis; Torres, don Víctor; </w:t>
      </w:r>
      <w:proofErr w:type="spellStart"/>
      <w:r w:rsidRPr="00834CB1">
        <w:t>Trisotti</w:t>
      </w:r>
      <w:proofErr w:type="spellEnd"/>
      <w:r w:rsidRPr="00834CB1">
        <w:t>, don Renzo; Urrutia, don Osvaldo y Velásquez, don Pedro.</w:t>
      </w:r>
    </w:p>
    <w:p w14:paraId="43317C3C" w14:textId="77777777" w:rsidR="00D10B96" w:rsidRPr="00834CB1" w:rsidRDefault="00D10B96" w:rsidP="00D10B96">
      <w:pPr>
        <w:jc w:val="both"/>
      </w:pPr>
    </w:p>
    <w:p w14:paraId="5C77F46B" w14:textId="77777777" w:rsidR="00D10B96" w:rsidRPr="00834CB1" w:rsidRDefault="00D10B96" w:rsidP="00D10B96">
      <w:pPr>
        <w:jc w:val="both"/>
      </w:pPr>
      <w:r w:rsidRPr="00834CB1">
        <w:t>*******</w:t>
      </w:r>
    </w:p>
    <w:p w14:paraId="00E898EC" w14:textId="77777777" w:rsidR="00D10B96" w:rsidRPr="00834CB1" w:rsidRDefault="00D10B96" w:rsidP="00D10B96">
      <w:pPr>
        <w:jc w:val="both"/>
      </w:pPr>
      <w:r w:rsidRPr="00834CB1">
        <w:t>ES TODO CUANTO PUEDO INFORMAR</w:t>
      </w:r>
    </w:p>
    <w:p w14:paraId="6716A823" w14:textId="763F465C" w:rsidR="00CE5ED3" w:rsidRPr="00834CB1" w:rsidRDefault="00CE5ED3" w:rsidP="00CE5ED3">
      <w:pPr>
        <w:jc w:val="both"/>
      </w:pPr>
    </w:p>
    <w:p w14:paraId="4D174C1C" w14:textId="11CFA923" w:rsidR="00CE5ED3" w:rsidRPr="00834CB1" w:rsidRDefault="00CE5ED3" w:rsidP="00CE5ED3">
      <w:pPr>
        <w:jc w:val="both"/>
      </w:pPr>
    </w:p>
    <w:p w14:paraId="66986AD2" w14:textId="591E7546" w:rsidR="00CE5ED3" w:rsidRPr="00834CB1" w:rsidRDefault="00CE5ED3" w:rsidP="00CE5ED3">
      <w:pPr>
        <w:jc w:val="center"/>
      </w:pPr>
      <w:r w:rsidRPr="00834CB1">
        <w:t>0-0-0-0-0-0-</w:t>
      </w:r>
    </w:p>
    <w:sectPr w:rsidR="00CE5ED3" w:rsidRPr="00834C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32D89"/>
    <w:multiLevelType w:val="hybridMultilevel"/>
    <w:tmpl w:val="A11C539E"/>
    <w:lvl w:ilvl="0" w:tplc="AD088938">
      <w:start w:val="3"/>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8CC7A22"/>
    <w:multiLevelType w:val="hybridMultilevel"/>
    <w:tmpl w:val="5FB0641E"/>
    <w:lvl w:ilvl="0" w:tplc="39F863EA">
      <w:start w:val="4"/>
      <w:numFmt w:val="bullet"/>
      <w:lvlText w:val="-"/>
      <w:lvlJc w:val="left"/>
      <w:pPr>
        <w:ind w:left="720" w:hanging="360"/>
      </w:pPr>
      <w:rPr>
        <w:rFonts w:ascii="Calibri" w:eastAsiaTheme="minorHAnsi" w:hAnsi="Calibri" w:cs="Calibri"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A5E49FA"/>
    <w:multiLevelType w:val="hybridMultilevel"/>
    <w:tmpl w:val="8BB4EC00"/>
    <w:lvl w:ilvl="0" w:tplc="1DBC0BA2">
      <w:start w:val="3"/>
      <w:numFmt w:val="bullet"/>
      <w:lvlText w:val="-"/>
      <w:lvlJc w:val="left"/>
      <w:pPr>
        <w:ind w:left="720" w:hanging="360"/>
      </w:pPr>
      <w:rPr>
        <w:rFonts w:ascii="Calibri" w:eastAsiaTheme="minorHAnsi" w:hAnsi="Calibri" w:cs="Calibri"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21D3657"/>
    <w:multiLevelType w:val="hybridMultilevel"/>
    <w:tmpl w:val="70306736"/>
    <w:lvl w:ilvl="0" w:tplc="E5A20B6C">
      <w:start w:val="2"/>
      <w:numFmt w:val="bullet"/>
      <w:lvlText w:val="-"/>
      <w:lvlJc w:val="left"/>
      <w:pPr>
        <w:ind w:left="720" w:hanging="360"/>
      </w:pPr>
      <w:rPr>
        <w:rFonts w:ascii="Calibri" w:eastAsiaTheme="minorHAnsi" w:hAnsi="Calibri" w:cs="Calibri" w:hint="default"/>
        <w:b w:val="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F5B1EDA"/>
    <w:multiLevelType w:val="hybridMultilevel"/>
    <w:tmpl w:val="E104DA98"/>
    <w:lvl w:ilvl="0" w:tplc="DDA25308">
      <w:start w:val="6"/>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EBD"/>
    <w:rsid w:val="00144DE5"/>
    <w:rsid w:val="00157805"/>
    <w:rsid w:val="00244BA4"/>
    <w:rsid w:val="0046465C"/>
    <w:rsid w:val="00630EBD"/>
    <w:rsid w:val="00680AD5"/>
    <w:rsid w:val="00697997"/>
    <w:rsid w:val="006E6562"/>
    <w:rsid w:val="00833719"/>
    <w:rsid w:val="00834CB1"/>
    <w:rsid w:val="0090748F"/>
    <w:rsid w:val="00954919"/>
    <w:rsid w:val="00956C5B"/>
    <w:rsid w:val="009B0198"/>
    <w:rsid w:val="00BB13A0"/>
    <w:rsid w:val="00CB4DF3"/>
    <w:rsid w:val="00CC594F"/>
    <w:rsid w:val="00CE5ED3"/>
    <w:rsid w:val="00D10B96"/>
    <w:rsid w:val="00D9778D"/>
    <w:rsid w:val="00DB63C6"/>
    <w:rsid w:val="00E24535"/>
    <w:rsid w:val="00FF1F3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69DD"/>
  <w15:chartTrackingRefBased/>
  <w15:docId w15:val="{19BEFB36-B46F-4A06-AD7E-D6BB7C79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49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2679</Words>
  <Characters>15276</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dc:creator>
  <cp:keywords/>
  <dc:description/>
  <cp:lastModifiedBy>Pamela</cp:lastModifiedBy>
  <cp:revision>2</cp:revision>
  <dcterms:created xsi:type="dcterms:W3CDTF">2021-03-18T23:35:00Z</dcterms:created>
  <dcterms:modified xsi:type="dcterms:W3CDTF">2021-03-18T23:35:00Z</dcterms:modified>
</cp:coreProperties>
</file>